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29" w:lineRule="auto"/>
        <w:jc w:val="center"/>
        <w:rPr>
          <w:rFonts w:hint="default" w:ascii="黑体" w:hAnsi="黑体" w:eastAsia="黑体" w:cs="黑体"/>
          <w:b/>
          <w:bCs/>
          <w:sz w:val="32"/>
          <w:szCs w:val="32"/>
          <w:lang w:val="en-US" w:eastAsia="zh-CN"/>
        </w:rPr>
      </w:pPr>
      <w:r>
        <w:rPr>
          <w:rFonts w:hint="eastAsia" w:ascii="黑体" w:hAnsi="黑体" w:eastAsia="黑体" w:cs="黑体"/>
          <w:b/>
          <w:bCs/>
          <w:sz w:val="32"/>
          <w:szCs w:val="32"/>
        </w:rPr>
        <w:t>申请新增艺术硕士专业学位授权点基本条件</w:t>
      </w:r>
      <w:r>
        <w:rPr>
          <w:rFonts w:hint="eastAsia" w:ascii="黑体" w:hAnsi="黑体" w:eastAsia="黑体" w:cs="黑体"/>
          <w:b/>
          <w:bCs/>
          <w:sz w:val="32"/>
          <w:szCs w:val="32"/>
          <w:lang w:val="en-US" w:eastAsia="zh-CN"/>
        </w:rPr>
        <w:t>建设清单</w:t>
      </w:r>
    </w:p>
    <w:p>
      <w:pPr>
        <w:spacing w:line="329" w:lineRule="auto"/>
        <w:ind w:firstLine="482" w:firstLineChars="200"/>
        <w:rPr>
          <w:rFonts w:ascii="宋体" w:hAnsi="宋体" w:eastAsia="宋体"/>
          <w:b/>
          <w:bCs/>
          <w:sz w:val="24"/>
          <w:szCs w:val="24"/>
        </w:rPr>
      </w:pPr>
      <w:r>
        <w:rPr>
          <w:rFonts w:hint="eastAsia" w:ascii="宋体" w:hAnsi="宋体" w:eastAsia="宋体"/>
          <w:b/>
          <w:bCs/>
          <w:sz w:val="24"/>
          <w:szCs w:val="24"/>
        </w:rPr>
        <w:t>学位点代码：1351</w:t>
      </w:r>
      <w:r>
        <w:rPr>
          <w:rFonts w:ascii="宋体" w:hAnsi="宋体" w:eastAsia="宋体"/>
          <w:b/>
          <w:bCs/>
          <w:sz w:val="24"/>
          <w:szCs w:val="24"/>
        </w:rPr>
        <w:t xml:space="preserve">                            </w:t>
      </w:r>
      <w:r>
        <w:rPr>
          <w:rFonts w:hint="eastAsia" w:ascii="宋体" w:hAnsi="宋体" w:eastAsia="宋体"/>
          <w:b/>
          <w:bCs/>
          <w:sz w:val="24"/>
          <w:szCs w:val="24"/>
        </w:rPr>
        <w:t>学位点名称：艺术</w:t>
      </w:r>
    </w:p>
    <w:tbl>
      <w:tblPr>
        <w:tblStyle w:val="4"/>
        <w:tblW w:w="143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32"/>
        <w:gridCol w:w="3382"/>
        <w:gridCol w:w="3238"/>
        <w:gridCol w:w="3238"/>
        <w:gridCol w:w="1060"/>
        <w:gridCol w:w="3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1" w:hRule="atLeast"/>
          <w:jc w:val="center"/>
        </w:trPr>
        <w:tc>
          <w:tcPr>
            <w:tcW w:w="3814" w:type="dxa"/>
            <w:gridSpan w:val="2"/>
            <w:vAlign w:val="center"/>
          </w:tcPr>
          <w:p>
            <w:pPr>
              <w:jc w:val="center"/>
              <w:rPr>
                <w:rFonts w:ascii="宋体" w:hAnsi="宋体" w:eastAsia="宋体"/>
                <w:b/>
                <w:bCs/>
                <w:sz w:val="21"/>
                <w:szCs w:val="21"/>
              </w:rPr>
            </w:pPr>
            <w:r>
              <w:rPr>
                <w:rFonts w:ascii="宋体" w:hAnsi="宋体" w:eastAsia="宋体"/>
                <w:b/>
                <w:bCs/>
                <w:sz w:val="21"/>
                <w:szCs w:val="21"/>
              </w:rPr>
              <w:t>申请基本条件</w:t>
            </w:r>
          </w:p>
        </w:tc>
        <w:tc>
          <w:tcPr>
            <w:tcW w:w="3238" w:type="dxa"/>
            <w:vAlign w:val="center"/>
          </w:tcPr>
          <w:p>
            <w:pPr>
              <w:jc w:val="center"/>
              <w:rPr>
                <w:rFonts w:hint="eastAsia" w:ascii="宋体" w:hAnsi="宋体" w:eastAsia="宋体" w:cs="Times New Roman"/>
                <w:b/>
                <w:bCs/>
                <w:sz w:val="21"/>
                <w:szCs w:val="21"/>
                <w:lang w:val="en-US" w:eastAsia="zh-CN" w:bidi="ar-SA"/>
              </w:rPr>
            </w:pPr>
            <w:r>
              <w:rPr>
                <w:rFonts w:hint="eastAsia" w:ascii="宋体" w:hAnsi="宋体" w:eastAsia="宋体"/>
                <w:b/>
                <w:bCs/>
                <w:sz w:val="21"/>
                <w:szCs w:val="21"/>
                <w:lang w:val="en-US" w:eastAsia="zh-CN"/>
              </w:rPr>
              <w:t>2022年1至6月建设成果（逐项列举）</w:t>
            </w:r>
          </w:p>
        </w:tc>
        <w:tc>
          <w:tcPr>
            <w:tcW w:w="3238" w:type="dxa"/>
            <w:vAlign w:val="center"/>
          </w:tcPr>
          <w:p>
            <w:pPr>
              <w:jc w:val="center"/>
              <w:rPr>
                <w:rFonts w:ascii="宋体" w:hAnsi="宋体" w:eastAsia="宋体" w:cs="Times New Roman"/>
                <w:b/>
                <w:bCs/>
                <w:sz w:val="21"/>
                <w:szCs w:val="21"/>
                <w:lang w:val="en-US" w:eastAsia="zh-CN" w:bidi="ar-SA"/>
              </w:rPr>
            </w:pPr>
            <w:r>
              <w:rPr>
                <w:rFonts w:hint="eastAsia" w:ascii="宋体" w:hAnsi="宋体" w:eastAsia="宋体"/>
                <w:b/>
                <w:bCs/>
                <w:sz w:val="21"/>
                <w:szCs w:val="21"/>
              </w:rPr>
              <w:t>学科现状</w:t>
            </w:r>
            <w:r>
              <w:rPr>
                <w:rFonts w:hint="eastAsia" w:ascii="宋体" w:hAnsi="宋体" w:eastAsia="宋体"/>
                <w:b/>
                <w:bCs/>
                <w:sz w:val="21"/>
                <w:szCs w:val="21"/>
                <w:lang w:val="en-US" w:eastAsia="zh-CN"/>
              </w:rPr>
              <w:t>及差距</w:t>
            </w:r>
            <w:bookmarkStart w:id="0" w:name="_GoBack"/>
            <w:bookmarkEnd w:id="0"/>
            <w:r>
              <w:rPr>
                <w:rFonts w:hint="eastAsia" w:ascii="宋体" w:hAnsi="宋体" w:eastAsia="宋体"/>
                <w:b/>
                <w:bCs/>
                <w:sz w:val="21"/>
                <w:szCs w:val="21"/>
              </w:rPr>
              <w:t>（根据申请基本条件，逐项描述达标情况）</w:t>
            </w:r>
          </w:p>
        </w:tc>
        <w:tc>
          <w:tcPr>
            <w:tcW w:w="1060" w:type="dxa"/>
            <w:vAlign w:val="center"/>
          </w:tcPr>
          <w:p>
            <w:pPr>
              <w:jc w:val="center"/>
              <w:rPr>
                <w:rFonts w:ascii="宋体" w:hAnsi="宋体" w:eastAsia="宋体"/>
                <w:b/>
                <w:bCs/>
                <w:sz w:val="21"/>
                <w:szCs w:val="21"/>
              </w:rPr>
            </w:pPr>
            <w:r>
              <w:rPr>
                <w:rFonts w:hint="eastAsia" w:ascii="宋体" w:hAnsi="宋体" w:eastAsia="宋体"/>
                <w:b/>
                <w:bCs/>
                <w:sz w:val="21"/>
                <w:szCs w:val="21"/>
              </w:rPr>
              <w:t>自审是否达标 （√）</w:t>
            </w:r>
          </w:p>
        </w:tc>
        <w:tc>
          <w:tcPr>
            <w:tcW w:w="3024" w:type="dxa"/>
            <w:vAlign w:val="center"/>
          </w:tcPr>
          <w:p>
            <w:pPr>
              <w:jc w:val="center"/>
              <w:rPr>
                <w:rFonts w:hint="eastAsia" w:ascii="宋体" w:hAnsi="宋体" w:eastAsia="宋体"/>
                <w:b/>
                <w:bCs/>
                <w:sz w:val="21"/>
                <w:szCs w:val="21"/>
              </w:rPr>
            </w:pPr>
            <w:r>
              <w:rPr>
                <w:rFonts w:hint="eastAsia" w:ascii="宋体" w:hAnsi="宋体" w:eastAsia="宋体"/>
                <w:b/>
                <w:bCs/>
                <w:sz w:val="21"/>
                <w:szCs w:val="21"/>
              </w:rPr>
              <w:t>拟采取措施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tcPr>
          <w:p>
            <w:pPr>
              <w:rPr>
                <w:rFonts w:ascii="宋体" w:hAnsi="宋体" w:eastAsia="宋体"/>
                <w:b/>
                <w:bCs/>
                <w:sz w:val="21"/>
                <w:szCs w:val="21"/>
              </w:rPr>
            </w:pPr>
            <w:r>
              <w:rPr>
                <w:rFonts w:ascii="宋体" w:hAnsi="宋体" w:eastAsia="宋体"/>
                <w:b/>
                <w:bCs/>
                <w:sz w:val="21"/>
                <w:szCs w:val="21"/>
              </w:rPr>
              <w:t>1.</w:t>
            </w:r>
            <w:r>
              <w:rPr>
                <w:rFonts w:hint="eastAsia" w:ascii="宋体" w:hAnsi="宋体" w:eastAsia="宋体"/>
                <w:b/>
                <w:bCs/>
                <w:sz w:val="21"/>
                <w:szCs w:val="21"/>
              </w:rPr>
              <w:t>专业</w:t>
            </w:r>
            <w:r>
              <w:rPr>
                <w:rFonts w:ascii="宋体" w:hAnsi="宋体" w:eastAsia="宋体"/>
                <w:b/>
                <w:bCs/>
                <w:sz w:val="21"/>
                <w:szCs w:val="21"/>
              </w:rPr>
              <w:t>特色</w:t>
            </w:r>
          </w:p>
        </w:tc>
        <w:tc>
          <w:tcPr>
            <w:tcW w:w="3382" w:type="dxa"/>
          </w:tcPr>
          <w:p>
            <w:pPr>
              <w:rPr>
                <w:rFonts w:ascii="宋体" w:hAnsi="宋体" w:eastAsia="宋体"/>
                <w:b/>
                <w:bCs/>
                <w:sz w:val="21"/>
                <w:szCs w:val="21"/>
              </w:rPr>
            </w:pPr>
            <w:r>
              <w:rPr>
                <w:rFonts w:ascii="宋体" w:hAnsi="宋体" w:eastAsia="宋体"/>
                <w:b/>
                <w:bCs/>
                <w:sz w:val="21"/>
                <w:szCs w:val="21"/>
              </w:rPr>
              <w:t>1.1</w:t>
            </w:r>
            <w:r>
              <w:rPr>
                <w:rFonts w:hint="eastAsia" w:ascii="宋体" w:hAnsi="宋体" w:eastAsia="宋体"/>
                <w:b/>
                <w:bCs/>
                <w:sz w:val="21"/>
                <w:szCs w:val="21"/>
              </w:rPr>
              <w:t>专业特色</w:t>
            </w:r>
          </w:p>
          <w:p>
            <w:pPr>
              <w:rPr>
                <w:rFonts w:ascii="宋体" w:hAnsi="宋体" w:eastAsia="宋体"/>
                <w:sz w:val="21"/>
                <w:szCs w:val="21"/>
              </w:rPr>
            </w:pPr>
            <w:r>
              <w:rPr>
                <w:rFonts w:hint="eastAsia" w:ascii="宋体" w:hAnsi="宋体" w:eastAsia="宋体"/>
                <w:sz w:val="21"/>
                <w:szCs w:val="21"/>
              </w:rPr>
              <w:t>艺术硕士专业学位研究生教育的主要目标是为音乐、戏剧、戏曲、电影、广播电视、舞蹈、美术、艺术设计等艺术领域培养具有系统专业知识和高水平实践能力的高层次、应用型专门人才，为服务国家文化发展战略提供优质人才保障。各领域涵盖创作、表演、教育、管理等专业。同时，可以根据培养单位的特色、优势，为适应区域文化发展以及行业需求，在有明确对应的行业和职业对象的基础上设置专业方向。</w:t>
            </w:r>
          </w:p>
        </w:tc>
        <w:tc>
          <w:tcPr>
            <w:tcW w:w="3238" w:type="dxa"/>
          </w:tcPr>
          <w:p>
            <w:pPr>
              <w:ind w:left="100"/>
              <w:jc w:val="both"/>
              <w:rPr>
                <w:rFonts w:ascii="宋体" w:hAnsi="宋体" w:eastAsia="宋体"/>
                <w:b/>
                <w:bCs/>
                <w:w w:val="98"/>
                <w:sz w:val="21"/>
                <w:szCs w:val="21"/>
              </w:rPr>
            </w:pPr>
          </w:p>
        </w:tc>
        <w:tc>
          <w:tcPr>
            <w:tcW w:w="3238" w:type="dxa"/>
          </w:tcPr>
          <w:p>
            <w:pPr>
              <w:ind w:left="100"/>
              <w:jc w:val="both"/>
              <w:rPr>
                <w:rFonts w:ascii="宋体" w:hAnsi="宋体" w:eastAsia="宋体"/>
                <w:b/>
                <w:bCs/>
                <w:w w:val="98"/>
                <w:sz w:val="21"/>
                <w:szCs w:val="21"/>
              </w:rPr>
            </w:pPr>
          </w:p>
        </w:tc>
        <w:tc>
          <w:tcPr>
            <w:tcW w:w="1060"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024"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restart"/>
          </w:tcPr>
          <w:p>
            <w:pPr>
              <w:rPr>
                <w:rFonts w:ascii="宋体" w:hAnsi="宋体" w:eastAsia="宋体"/>
                <w:b/>
                <w:bCs/>
                <w:sz w:val="21"/>
                <w:szCs w:val="21"/>
              </w:rPr>
            </w:pPr>
            <w:r>
              <w:rPr>
                <w:rFonts w:ascii="宋体" w:hAnsi="宋体" w:eastAsia="宋体"/>
                <w:b/>
                <w:bCs/>
                <w:sz w:val="21"/>
                <w:szCs w:val="21"/>
              </w:rPr>
              <w:t>2.</w:t>
            </w:r>
            <w:r>
              <w:rPr>
                <w:rFonts w:hint="eastAsia" w:ascii="宋体" w:hAnsi="宋体" w:eastAsia="宋体"/>
                <w:b/>
                <w:bCs/>
                <w:sz w:val="21"/>
                <w:szCs w:val="21"/>
              </w:rPr>
              <w:t>师资</w:t>
            </w:r>
            <w:r>
              <w:rPr>
                <w:rFonts w:ascii="宋体" w:hAnsi="宋体" w:eastAsia="宋体"/>
                <w:b/>
                <w:bCs/>
                <w:sz w:val="21"/>
                <w:szCs w:val="21"/>
              </w:rPr>
              <w:t>队伍</w:t>
            </w:r>
          </w:p>
        </w:tc>
        <w:tc>
          <w:tcPr>
            <w:tcW w:w="3382" w:type="dxa"/>
          </w:tcPr>
          <w:p>
            <w:pPr>
              <w:rPr>
                <w:rFonts w:ascii="宋体" w:hAnsi="宋体" w:eastAsia="宋体"/>
                <w:b/>
                <w:bCs/>
                <w:sz w:val="21"/>
                <w:szCs w:val="21"/>
              </w:rPr>
            </w:pPr>
            <w:r>
              <w:rPr>
                <w:rFonts w:ascii="宋体" w:hAnsi="宋体" w:eastAsia="宋体"/>
                <w:b/>
                <w:bCs/>
                <w:sz w:val="21"/>
                <w:szCs w:val="21"/>
              </w:rPr>
              <w:t>2.2人员规模</w:t>
            </w:r>
          </w:p>
          <w:p>
            <w:pPr>
              <w:rPr>
                <w:rFonts w:ascii="宋体" w:hAnsi="宋体" w:eastAsia="宋体"/>
                <w:sz w:val="21"/>
                <w:szCs w:val="21"/>
              </w:rPr>
            </w:pPr>
            <w:r>
              <w:rPr>
                <w:rFonts w:hint="eastAsia" w:ascii="宋体" w:hAnsi="宋体" w:eastAsia="宋体"/>
                <w:sz w:val="21"/>
                <w:szCs w:val="21"/>
              </w:rPr>
              <w:t>拟办学领域的专任教师不少于 15人；每个领域至少具备 3 个主干专业方向指导教师不少于 9 人（包括本校在编和外聘，以下统称“导师”，承担同等责任），每个方向至少 3 人；外聘导师不多于 1/3。</w:t>
            </w:r>
          </w:p>
        </w:tc>
        <w:tc>
          <w:tcPr>
            <w:tcW w:w="3238" w:type="dxa"/>
          </w:tcPr>
          <w:p>
            <w:pPr>
              <w:ind w:left="100"/>
              <w:jc w:val="both"/>
              <w:rPr>
                <w:rFonts w:ascii="宋体" w:hAnsi="宋体" w:eastAsia="宋体"/>
                <w:b/>
                <w:bCs/>
                <w:w w:val="98"/>
                <w:sz w:val="21"/>
                <w:szCs w:val="21"/>
              </w:rPr>
            </w:pPr>
          </w:p>
        </w:tc>
        <w:tc>
          <w:tcPr>
            <w:tcW w:w="3238" w:type="dxa"/>
          </w:tcPr>
          <w:p>
            <w:pPr>
              <w:ind w:left="100"/>
              <w:jc w:val="both"/>
              <w:rPr>
                <w:rFonts w:ascii="宋体" w:hAnsi="宋体" w:eastAsia="宋体"/>
                <w:b/>
                <w:bCs/>
                <w:w w:val="98"/>
                <w:sz w:val="21"/>
                <w:szCs w:val="21"/>
              </w:rPr>
            </w:pPr>
          </w:p>
        </w:tc>
        <w:tc>
          <w:tcPr>
            <w:tcW w:w="1060"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024"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b/>
                <w:bCs/>
                <w:sz w:val="21"/>
                <w:szCs w:val="21"/>
              </w:rPr>
            </w:pPr>
          </w:p>
        </w:tc>
        <w:tc>
          <w:tcPr>
            <w:tcW w:w="3382" w:type="dxa"/>
          </w:tcPr>
          <w:p>
            <w:pPr>
              <w:rPr>
                <w:rFonts w:ascii="宋体" w:hAnsi="宋体" w:eastAsia="宋体"/>
                <w:b/>
                <w:bCs/>
                <w:sz w:val="21"/>
                <w:szCs w:val="21"/>
              </w:rPr>
            </w:pPr>
            <w:r>
              <w:rPr>
                <w:rFonts w:ascii="宋体" w:hAnsi="宋体" w:eastAsia="宋体"/>
                <w:b/>
                <w:bCs/>
                <w:sz w:val="21"/>
                <w:szCs w:val="21"/>
              </w:rPr>
              <w:t>2.3人员结构</w:t>
            </w:r>
          </w:p>
          <w:p>
            <w:pPr>
              <w:rPr>
                <w:rFonts w:ascii="宋体" w:hAnsi="宋体" w:eastAsia="宋体"/>
                <w:sz w:val="21"/>
                <w:szCs w:val="21"/>
              </w:rPr>
            </w:pPr>
            <w:r>
              <w:rPr>
                <w:rFonts w:hint="eastAsia" w:ascii="宋体" w:hAnsi="宋体" w:eastAsia="宋体"/>
                <w:sz w:val="21"/>
                <w:szCs w:val="21"/>
              </w:rPr>
              <w:t>专任教师中，45岁以下不少于1/3。师资的专业结构应涵盖申报领域的主干方向，如音乐领域：音乐创作、声乐、键盘及其他类乐器表演等；戏剧领域：表演、导演、编剧等；戏曲领域：编剧、表演、导演、戏曲音乐、戏曲舞美等；电影领域：电影剧本创作、导演、表演、摄影等；广播电视领域：节目策划与创作、编剧、广电编导等；舞蹈领域：表演、编导、舞蹈教育等；美术领域：中国画（含书法）、油画、版画、雕塑等；艺术设计领域：艺术设计实践类方向。导师须具备本方向专业背景，具有教学和实践经历，至少指导过 3 届相关专业方向的本科生，并有学生考上相关专业研究生或获得过创作、表演等奖项。</w:t>
            </w:r>
          </w:p>
        </w:tc>
        <w:tc>
          <w:tcPr>
            <w:tcW w:w="3238" w:type="dxa"/>
          </w:tcPr>
          <w:p>
            <w:pPr>
              <w:ind w:left="100"/>
              <w:jc w:val="both"/>
              <w:rPr>
                <w:rFonts w:ascii="宋体" w:hAnsi="宋体" w:eastAsia="宋体"/>
                <w:b/>
                <w:bCs/>
                <w:w w:val="98"/>
                <w:sz w:val="21"/>
                <w:szCs w:val="21"/>
              </w:rPr>
            </w:pPr>
          </w:p>
        </w:tc>
        <w:tc>
          <w:tcPr>
            <w:tcW w:w="3238" w:type="dxa"/>
          </w:tcPr>
          <w:p>
            <w:pPr>
              <w:ind w:left="100"/>
              <w:jc w:val="both"/>
              <w:rPr>
                <w:rFonts w:ascii="宋体" w:hAnsi="宋体" w:eastAsia="宋体"/>
                <w:b/>
                <w:bCs/>
                <w:w w:val="98"/>
                <w:sz w:val="21"/>
                <w:szCs w:val="21"/>
              </w:rPr>
            </w:pPr>
          </w:p>
        </w:tc>
        <w:tc>
          <w:tcPr>
            <w:tcW w:w="1060"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024"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b/>
                <w:bCs/>
                <w:sz w:val="21"/>
                <w:szCs w:val="21"/>
              </w:rPr>
            </w:pPr>
          </w:p>
        </w:tc>
        <w:tc>
          <w:tcPr>
            <w:tcW w:w="3382" w:type="dxa"/>
          </w:tcPr>
          <w:p>
            <w:pPr>
              <w:rPr>
                <w:rFonts w:ascii="宋体" w:hAnsi="宋体" w:eastAsia="宋体"/>
                <w:b/>
                <w:bCs/>
                <w:sz w:val="21"/>
                <w:szCs w:val="21"/>
              </w:rPr>
            </w:pPr>
            <w:r>
              <w:rPr>
                <w:rFonts w:ascii="宋体" w:hAnsi="宋体" w:eastAsia="宋体"/>
                <w:b/>
                <w:bCs/>
                <w:sz w:val="21"/>
                <w:szCs w:val="21"/>
              </w:rPr>
              <w:t>2.4骨干</w:t>
            </w:r>
            <w:r>
              <w:rPr>
                <w:rFonts w:hint="eastAsia" w:ascii="宋体" w:hAnsi="宋体" w:eastAsia="宋体"/>
                <w:b/>
                <w:bCs/>
                <w:sz w:val="21"/>
                <w:szCs w:val="21"/>
              </w:rPr>
              <w:t>教师</w:t>
            </w:r>
          </w:p>
          <w:p>
            <w:pPr>
              <w:rPr>
                <w:rFonts w:ascii="宋体" w:hAnsi="宋体" w:eastAsia="宋体"/>
                <w:sz w:val="21"/>
                <w:szCs w:val="21"/>
              </w:rPr>
            </w:pPr>
            <w:r>
              <w:rPr>
                <w:rFonts w:hint="eastAsia" w:ascii="宋体" w:hAnsi="宋体" w:eastAsia="宋体"/>
                <w:sz w:val="21"/>
                <w:szCs w:val="21"/>
              </w:rPr>
              <w:t>每个专业方向须至少有 1 名专业带头人和 2 名骨干教师。带头人必须由本单位在职、在岗教授担任，骨干教师应具有副教授以上职称，承担专业主要课程，具有丰富的教学经验，具有较强的专业实践能力及实践研究能力，且具有一定的理论水平。近 10 年，带头人应至少主持过 2 项省部级创作实践项目或实践教研类项目；骨干教师应至少主持过 1 项省部级创作实践或实践教研类项目。</w:t>
            </w:r>
          </w:p>
        </w:tc>
        <w:tc>
          <w:tcPr>
            <w:tcW w:w="3238" w:type="dxa"/>
          </w:tcPr>
          <w:p>
            <w:pPr>
              <w:ind w:left="100"/>
              <w:jc w:val="both"/>
              <w:rPr>
                <w:rFonts w:ascii="宋体" w:hAnsi="宋体" w:eastAsia="宋体"/>
                <w:b/>
                <w:bCs/>
                <w:w w:val="98"/>
                <w:sz w:val="21"/>
                <w:szCs w:val="21"/>
              </w:rPr>
            </w:pPr>
          </w:p>
        </w:tc>
        <w:tc>
          <w:tcPr>
            <w:tcW w:w="3238" w:type="dxa"/>
          </w:tcPr>
          <w:p>
            <w:pPr>
              <w:ind w:left="100"/>
              <w:jc w:val="both"/>
              <w:rPr>
                <w:rFonts w:ascii="宋体" w:hAnsi="宋体" w:eastAsia="宋体"/>
                <w:b/>
                <w:bCs/>
                <w:w w:val="98"/>
                <w:sz w:val="21"/>
                <w:szCs w:val="21"/>
              </w:rPr>
            </w:pPr>
          </w:p>
        </w:tc>
        <w:tc>
          <w:tcPr>
            <w:tcW w:w="1060"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024"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restart"/>
          </w:tcPr>
          <w:p>
            <w:pPr>
              <w:rPr>
                <w:rFonts w:ascii="宋体" w:hAnsi="宋体" w:eastAsia="宋体"/>
                <w:b/>
                <w:bCs/>
                <w:sz w:val="21"/>
                <w:szCs w:val="21"/>
              </w:rPr>
            </w:pPr>
            <w:r>
              <w:rPr>
                <w:rFonts w:ascii="宋体" w:hAnsi="宋体" w:eastAsia="宋体"/>
                <w:b/>
                <w:bCs/>
                <w:sz w:val="21"/>
                <w:szCs w:val="21"/>
              </w:rPr>
              <w:t>3.人才培养</w:t>
            </w:r>
          </w:p>
        </w:tc>
        <w:tc>
          <w:tcPr>
            <w:tcW w:w="3382" w:type="dxa"/>
          </w:tcPr>
          <w:p>
            <w:pPr>
              <w:rPr>
                <w:rFonts w:ascii="宋体" w:hAnsi="宋体" w:eastAsia="宋体"/>
                <w:b/>
                <w:bCs/>
                <w:sz w:val="21"/>
                <w:szCs w:val="21"/>
              </w:rPr>
            </w:pPr>
            <w:r>
              <w:rPr>
                <w:rFonts w:ascii="宋体" w:hAnsi="宋体" w:eastAsia="宋体"/>
                <w:b/>
                <w:bCs/>
                <w:sz w:val="21"/>
                <w:szCs w:val="21"/>
              </w:rPr>
              <w:t>3.5课程与教学</w:t>
            </w:r>
          </w:p>
          <w:p>
            <w:pPr>
              <w:rPr>
                <w:rFonts w:ascii="宋体" w:hAnsi="宋体" w:eastAsia="宋体"/>
                <w:sz w:val="21"/>
                <w:szCs w:val="21"/>
              </w:rPr>
            </w:pPr>
            <w:r>
              <w:rPr>
                <w:rFonts w:hint="eastAsia" w:ascii="宋体" w:hAnsi="宋体" w:eastAsia="宋体"/>
                <w:sz w:val="21"/>
                <w:szCs w:val="21"/>
              </w:rPr>
              <w:t>申请单位艺术本科专业已有 5 届以上毕业生，已获学位的学士分别不少于 120 人；入学和毕业考核标准明确，具有开设相关课程的经验；近 5 年相关学科或专业的教学活动成果获得过省级及以上奖励。能够依据《艺术硕士指导性培养方案》的要求及《艺术专业硕士学位基本要求》，围绕提升实践能力和创新能力，针对所申请领域方向的特色制定培养方案和完善的课程体系（含实践、实习环节），并能采用科学合理的方式教学，具有完整的课程教学管理、考核和评价体系。</w:t>
            </w:r>
          </w:p>
        </w:tc>
        <w:tc>
          <w:tcPr>
            <w:tcW w:w="3238" w:type="dxa"/>
          </w:tcPr>
          <w:p>
            <w:pPr>
              <w:ind w:left="100"/>
              <w:jc w:val="both"/>
              <w:rPr>
                <w:rFonts w:ascii="宋体" w:hAnsi="宋体" w:eastAsia="宋体"/>
                <w:b/>
                <w:bCs/>
                <w:w w:val="98"/>
                <w:sz w:val="21"/>
                <w:szCs w:val="21"/>
              </w:rPr>
            </w:pPr>
          </w:p>
        </w:tc>
        <w:tc>
          <w:tcPr>
            <w:tcW w:w="3238" w:type="dxa"/>
          </w:tcPr>
          <w:p>
            <w:pPr>
              <w:ind w:left="100"/>
              <w:jc w:val="both"/>
              <w:rPr>
                <w:rFonts w:ascii="宋体" w:hAnsi="宋体" w:eastAsia="宋体"/>
                <w:b/>
                <w:bCs/>
                <w:w w:val="98"/>
                <w:sz w:val="21"/>
                <w:szCs w:val="21"/>
              </w:rPr>
            </w:pPr>
          </w:p>
        </w:tc>
        <w:tc>
          <w:tcPr>
            <w:tcW w:w="1060"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024"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b/>
                <w:bCs/>
                <w:sz w:val="21"/>
                <w:szCs w:val="21"/>
              </w:rPr>
            </w:pPr>
          </w:p>
        </w:tc>
        <w:tc>
          <w:tcPr>
            <w:tcW w:w="3382" w:type="dxa"/>
          </w:tcPr>
          <w:p>
            <w:pPr>
              <w:rPr>
                <w:rFonts w:ascii="宋体" w:hAnsi="宋体" w:eastAsia="宋体"/>
                <w:b/>
                <w:bCs/>
                <w:sz w:val="21"/>
                <w:szCs w:val="21"/>
              </w:rPr>
            </w:pPr>
            <w:r>
              <w:rPr>
                <w:rFonts w:ascii="宋体" w:hAnsi="宋体" w:eastAsia="宋体"/>
                <w:b/>
                <w:bCs/>
                <w:sz w:val="21"/>
                <w:szCs w:val="21"/>
              </w:rPr>
              <w:t>3.6培养质量</w:t>
            </w:r>
          </w:p>
          <w:p>
            <w:pPr>
              <w:rPr>
                <w:rFonts w:ascii="宋体" w:hAnsi="宋体" w:eastAsia="宋体"/>
                <w:sz w:val="21"/>
                <w:szCs w:val="21"/>
              </w:rPr>
            </w:pPr>
            <w:r>
              <w:rPr>
                <w:rFonts w:hint="eastAsia" w:ascii="宋体" w:hAnsi="宋体" w:eastAsia="宋体"/>
                <w:sz w:val="21"/>
                <w:szCs w:val="21"/>
              </w:rPr>
              <w:t>申请单位已毕业的本科生或研究生培养质量突出，毕业生的专业能力强、职业素质高，毕业去向良好，得到用人单位好评。一定数量的本科生升学情况良好。</w:t>
            </w:r>
          </w:p>
        </w:tc>
        <w:tc>
          <w:tcPr>
            <w:tcW w:w="3238" w:type="dxa"/>
          </w:tcPr>
          <w:p>
            <w:pPr>
              <w:ind w:left="100"/>
              <w:jc w:val="both"/>
              <w:rPr>
                <w:rFonts w:ascii="宋体" w:hAnsi="宋体" w:eastAsia="宋体"/>
                <w:b/>
                <w:bCs/>
                <w:w w:val="98"/>
                <w:sz w:val="21"/>
                <w:szCs w:val="21"/>
              </w:rPr>
            </w:pPr>
          </w:p>
        </w:tc>
        <w:tc>
          <w:tcPr>
            <w:tcW w:w="3238" w:type="dxa"/>
          </w:tcPr>
          <w:p>
            <w:pPr>
              <w:ind w:left="100"/>
              <w:jc w:val="both"/>
              <w:rPr>
                <w:rFonts w:ascii="宋体" w:hAnsi="宋体" w:eastAsia="宋体"/>
                <w:b/>
                <w:bCs/>
                <w:w w:val="98"/>
                <w:sz w:val="21"/>
                <w:szCs w:val="21"/>
              </w:rPr>
            </w:pPr>
          </w:p>
        </w:tc>
        <w:tc>
          <w:tcPr>
            <w:tcW w:w="1060"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024"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restart"/>
          </w:tcPr>
          <w:p>
            <w:pPr>
              <w:rPr>
                <w:rFonts w:ascii="宋体" w:hAnsi="宋体" w:eastAsia="宋体"/>
                <w:b/>
                <w:bCs/>
                <w:sz w:val="21"/>
                <w:szCs w:val="21"/>
              </w:rPr>
            </w:pPr>
            <w:r>
              <w:rPr>
                <w:rFonts w:ascii="宋体" w:hAnsi="宋体" w:eastAsia="宋体"/>
                <w:b/>
                <w:bCs/>
                <w:sz w:val="21"/>
                <w:szCs w:val="21"/>
              </w:rPr>
              <w:t>4.培养环境与条件</w:t>
            </w:r>
          </w:p>
        </w:tc>
        <w:tc>
          <w:tcPr>
            <w:tcW w:w="3382" w:type="dxa"/>
          </w:tcPr>
          <w:p>
            <w:pPr>
              <w:rPr>
                <w:rFonts w:ascii="宋体" w:hAnsi="宋体" w:eastAsia="宋体"/>
                <w:b/>
                <w:bCs/>
                <w:sz w:val="21"/>
                <w:szCs w:val="21"/>
              </w:rPr>
            </w:pPr>
            <w:r>
              <w:rPr>
                <w:rFonts w:ascii="宋体" w:hAnsi="宋体" w:eastAsia="宋体"/>
                <w:b/>
                <w:bCs/>
                <w:sz w:val="21"/>
                <w:szCs w:val="21"/>
              </w:rPr>
              <w:t>4.</w:t>
            </w:r>
            <w:r>
              <w:rPr>
                <w:rFonts w:hint="eastAsia" w:ascii="宋体" w:hAnsi="宋体" w:eastAsia="宋体"/>
                <w:b/>
                <w:bCs/>
                <w:sz w:val="21"/>
                <w:szCs w:val="21"/>
              </w:rPr>
              <w:t>7</w:t>
            </w:r>
            <w:r>
              <w:rPr>
                <w:rFonts w:ascii="宋体" w:hAnsi="宋体" w:eastAsia="宋体"/>
                <w:b/>
                <w:bCs/>
                <w:sz w:val="21"/>
                <w:szCs w:val="21"/>
              </w:rPr>
              <w:t>科研</w:t>
            </w:r>
            <w:r>
              <w:rPr>
                <w:rFonts w:hint="eastAsia" w:ascii="宋体" w:hAnsi="宋体" w:eastAsia="宋体"/>
                <w:b/>
                <w:bCs/>
                <w:sz w:val="21"/>
                <w:szCs w:val="21"/>
              </w:rPr>
              <w:t>与创作水平</w:t>
            </w:r>
          </w:p>
          <w:p>
            <w:pPr>
              <w:rPr>
                <w:rFonts w:ascii="宋体" w:hAnsi="宋体" w:eastAsia="宋体"/>
                <w:sz w:val="21"/>
                <w:szCs w:val="21"/>
              </w:rPr>
            </w:pPr>
            <w:r>
              <w:rPr>
                <w:rFonts w:hint="eastAsia" w:ascii="宋体" w:hAnsi="宋体" w:eastAsia="宋体"/>
                <w:sz w:val="21"/>
                <w:szCs w:val="21"/>
              </w:rPr>
              <w:t>近 5 年，申请单位在相关专业领域所承担的包括创作实践、实践教研等省部级各类基金、项目不少于 10 项。获得省部级教学、科研或创作奖项不少于 2 项；应有不少于 1/2 的专任教师参与过省部级实践教研类项目。本单位专任教师及学生创作过一定数量的在本领域比较有影响的作品及举办过数次在本领域比较有影响的教学科研活动。</w:t>
            </w:r>
          </w:p>
        </w:tc>
        <w:tc>
          <w:tcPr>
            <w:tcW w:w="3238" w:type="dxa"/>
          </w:tcPr>
          <w:p>
            <w:pPr>
              <w:ind w:left="100"/>
              <w:jc w:val="both"/>
              <w:rPr>
                <w:rFonts w:ascii="宋体" w:hAnsi="宋体" w:eastAsia="宋体"/>
                <w:b/>
                <w:bCs/>
                <w:w w:val="98"/>
                <w:sz w:val="21"/>
                <w:szCs w:val="21"/>
              </w:rPr>
            </w:pPr>
          </w:p>
        </w:tc>
        <w:tc>
          <w:tcPr>
            <w:tcW w:w="3238" w:type="dxa"/>
          </w:tcPr>
          <w:p>
            <w:pPr>
              <w:ind w:left="100"/>
              <w:jc w:val="both"/>
              <w:rPr>
                <w:rFonts w:ascii="宋体" w:hAnsi="宋体" w:eastAsia="宋体"/>
                <w:b/>
                <w:bCs/>
                <w:w w:val="98"/>
                <w:sz w:val="21"/>
                <w:szCs w:val="21"/>
              </w:rPr>
            </w:pPr>
          </w:p>
        </w:tc>
        <w:tc>
          <w:tcPr>
            <w:tcW w:w="1060"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024"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sz w:val="21"/>
                <w:szCs w:val="21"/>
              </w:rPr>
            </w:pPr>
          </w:p>
        </w:tc>
        <w:tc>
          <w:tcPr>
            <w:tcW w:w="3382" w:type="dxa"/>
          </w:tcPr>
          <w:p>
            <w:pPr>
              <w:rPr>
                <w:rFonts w:ascii="宋体" w:hAnsi="宋体" w:eastAsia="宋体"/>
                <w:b/>
                <w:bCs/>
                <w:sz w:val="21"/>
                <w:szCs w:val="21"/>
              </w:rPr>
            </w:pPr>
            <w:r>
              <w:rPr>
                <w:rFonts w:ascii="宋体" w:hAnsi="宋体" w:eastAsia="宋体"/>
                <w:b/>
                <w:bCs/>
                <w:sz w:val="21"/>
                <w:szCs w:val="21"/>
              </w:rPr>
              <w:t>4.</w:t>
            </w:r>
            <w:r>
              <w:rPr>
                <w:rFonts w:hint="eastAsia" w:ascii="宋体" w:hAnsi="宋体" w:eastAsia="宋体"/>
                <w:b/>
                <w:bCs/>
                <w:sz w:val="21"/>
                <w:szCs w:val="21"/>
              </w:rPr>
              <w:t>8实践教学</w:t>
            </w:r>
          </w:p>
          <w:p>
            <w:pPr>
              <w:rPr>
                <w:rFonts w:ascii="宋体" w:hAnsi="宋体" w:eastAsia="宋体"/>
                <w:sz w:val="21"/>
                <w:szCs w:val="21"/>
              </w:rPr>
            </w:pPr>
            <w:r>
              <w:rPr>
                <w:rFonts w:hint="eastAsia" w:ascii="宋体" w:hAnsi="宋体" w:eastAsia="宋体"/>
                <w:sz w:val="21"/>
                <w:szCs w:val="21"/>
              </w:rPr>
              <w:t>能根据专业方向实践教学的需要，积极开展各类专业展示活动、安排必要的案例教学、主动参与行业项目，具有较为稳固的校外艺术实践教学基地，有具体的专业实践教学的管理办法。能够依据《艺术硕士指导性培养方案》的要求，合理实行（学校、行业） 双导师制，聘请具有丰富经验的行业专家辅助指导学生的专业实践，已制定较为完善的《专业学位研究生实践课程学分具体管理规定》。</w:t>
            </w:r>
          </w:p>
        </w:tc>
        <w:tc>
          <w:tcPr>
            <w:tcW w:w="3238" w:type="dxa"/>
          </w:tcPr>
          <w:p>
            <w:pPr>
              <w:spacing w:line="322" w:lineRule="auto"/>
              <w:rPr>
                <w:rFonts w:ascii="宋体" w:hAnsi="宋体" w:eastAsia="宋体"/>
                <w:b/>
                <w:bCs/>
                <w:sz w:val="21"/>
                <w:szCs w:val="21"/>
              </w:rPr>
            </w:pPr>
          </w:p>
        </w:tc>
        <w:tc>
          <w:tcPr>
            <w:tcW w:w="3238" w:type="dxa"/>
          </w:tcPr>
          <w:p>
            <w:pPr>
              <w:spacing w:line="322" w:lineRule="auto"/>
              <w:rPr>
                <w:rFonts w:ascii="宋体" w:hAnsi="宋体" w:eastAsia="宋体"/>
                <w:b/>
                <w:bCs/>
                <w:sz w:val="21"/>
                <w:szCs w:val="21"/>
              </w:rPr>
            </w:pPr>
          </w:p>
        </w:tc>
        <w:tc>
          <w:tcPr>
            <w:tcW w:w="1060"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spacing w:line="322" w:lineRule="auto"/>
              <w:jc w:val="center"/>
              <w:rPr>
                <w:rFonts w:ascii="宋体" w:hAnsi="宋体" w:eastAsia="宋体"/>
                <w:b/>
                <w:bCs/>
                <w:w w:val="98"/>
                <w:sz w:val="21"/>
                <w:szCs w:val="21"/>
              </w:rPr>
            </w:pPr>
            <w:r>
              <w:rPr>
                <w:rFonts w:hint="eastAsia" w:ascii="宋体" w:hAnsi="宋体" w:eastAsia="宋体"/>
                <w:b/>
                <w:bCs/>
                <w:w w:val="98"/>
                <w:sz w:val="21"/>
                <w:szCs w:val="21"/>
              </w:rPr>
              <w:t>□否</w:t>
            </w:r>
          </w:p>
        </w:tc>
        <w:tc>
          <w:tcPr>
            <w:tcW w:w="3024"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sz w:val="21"/>
                <w:szCs w:val="21"/>
              </w:rPr>
            </w:pPr>
          </w:p>
        </w:tc>
        <w:tc>
          <w:tcPr>
            <w:tcW w:w="3382" w:type="dxa"/>
          </w:tcPr>
          <w:p>
            <w:pPr>
              <w:rPr>
                <w:rFonts w:ascii="宋体" w:hAnsi="宋体" w:eastAsia="宋体"/>
                <w:b/>
                <w:bCs/>
                <w:sz w:val="21"/>
                <w:szCs w:val="21"/>
              </w:rPr>
            </w:pPr>
            <w:r>
              <w:rPr>
                <w:rFonts w:ascii="宋体" w:hAnsi="宋体" w:eastAsia="宋体"/>
                <w:b/>
                <w:bCs/>
                <w:sz w:val="21"/>
                <w:szCs w:val="21"/>
              </w:rPr>
              <w:t xml:space="preserve">4.9 支撑条件 </w:t>
            </w:r>
          </w:p>
          <w:p>
            <w:pPr>
              <w:rPr>
                <w:rFonts w:ascii="宋体" w:hAnsi="宋体" w:eastAsia="宋体"/>
                <w:sz w:val="21"/>
                <w:szCs w:val="21"/>
              </w:rPr>
            </w:pPr>
            <w:r>
              <w:rPr>
                <w:rFonts w:hint="eastAsia" w:ascii="宋体" w:hAnsi="宋体" w:eastAsia="宋体"/>
                <w:sz w:val="21"/>
                <w:szCs w:val="21"/>
              </w:rPr>
              <w:t>申请单位应具备良好的办学环境和学习条件，包括硬件设施、教学投入、学习保障、后勤服务等，能够满足本学位授权点的发展需求。具体要求如下：</w:t>
            </w:r>
          </w:p>
          <w:p>
            <w:pPr>
              <w:rPr>
                <w:rFonts w:ascii="宋体" w:hAnsi="宋体" w:eastAsia="宋体"/>
                <w:sz w:val="21"/>
                <w:szCs w:val="21"/>
              </w:rPr>
            </w:pPr>
            <w:r>
              <w:rPr>
                <w:rFonts w:hint="eastAsia" w:ascii="宋体" w:hAnsi="宋体" w:eastAsia="宋体"/>
                <w:sz w:val="21"/>
                <w:szCs w:val="21"/>
              </w:rPr>
              <w:t>（1）音乐领域：须配置满足研究生日常教学和专业练习的乐器、琴房、排练厅和教室；共同课教室应配有钢琴与授课所需的较为完备的电子播放设备；须有 450 座以上规模舞台设备相对完备的专用音乐厅；有基本的留存影像资料所用录音、录像设备；乐谱、经典音响资料不低于 5000 册（套）。</w:t>
            </w:r>
          </w:p>
          <w:p>
            <w:pPr>
              <w:rPr>
                <w:rFonts w:ascii="宋体" w:hAnsi="宋体" w:eastAsia="宋体"/>
                <w:sz w:val="21"/>
                <w:szCs w:val="21"/>
              </w:rPr>
            </w:pPr>
            <w:r>
              <w:rPr>
                <w:rFonts w:hint="eastAsia" w:ascii="宋体" w:hAnsi="宋体" w:eastAsia="宋体"/>
                <w:sz w:val="21"/>
                <w:szCs w:val="21"/>
              </w:rPr>
              <w:t>（2）戏剧领域：须按 1:5 的比例为研究生配置排练厅；应按 1:10 的比例配置研究生专用研讨课教室；拥有至少一个舞台设备齐全、符合正式演出要求、容纳 100 人及以上的多功能剧场，以及一座容纳 300 人以上的正规剧场；拥有与专业相关的经典影像、节目、戏剧戏曲视频碟带不少于 5000 件。</w:t>
            </w:r>
          </w:p>
          <w:p>
            <w:pPr>
              <w:rPr>
                <w:rFonts w:ascii="宋体" w:hAnsi="宋体" w:eastAsia="宋体"/>
                <w:sz w:val="21"/>
                <w:szCs w:val="21"/>
              </w:rPr>
            </w:pPr>
            <w:r>
              <w:rPr>
                <w:rFonts w:hint="eastAsia" w:ascii="宋体" w:hAnsi="宋体" w:eastAsia="宋体"/>
                <w:sz w:val="21"/>
                <w:szCs w:val="21"/>
              </w:rPr>
              <w:t>（3）戏曲领域：须具备 400 座以上大剧场、200 座以上小剧场及大学生活动中心等教学实践场所；拥有教学设备齐全的多媒体教室、各类实验室等教学场所；拥有 10 间以上配有地毯的各类练功房、10 间以上专业琴房；琴房与文化教室都要配备钢琴；拥有 5 间以上的戏曲服饰化妆道具整理等管理教室；拥有至少 2 个录音、拍摄等用于教学实践演出的录制场地；各类戏曲学中文期刊订阅量不少于 10 种。</w:t>
            </w:r>
          </w:p>
          <w:p>
            <w:pPr>
              <w:rPr>
                <w:rFonts w:ascii="宋体" w:hAnsi="宋体" w:eastAsia="宋体"/>
                <w:sz w:val="21"/>
                <w:szCs w:val="21"/>
              </w:rPr>
            </w:pPr>
            <w:r>
              <w:rPr>
                <w:rFonts w:hint="eastAsia" w:ascii="宋体" w:hAnsi="宋体" w:eastAsia="宋体"/>
                <w:sz w:val="21"/>
                <w:szCs w:val="21"/>
              </w:rPr>
              <w:t>（4）电影领域：申请单位开设创作、制作专业方向应具备：200（或以上）平方米的摄影棚（配备摄制场景及照明设备）、对白（动效）录音棚、数字混录棚、数字声画剪辑实践教室、表演形体训练教室、表演教室、200 座以上的 Dolby 5.1 数字电影放映厅等；电影导演创作方向应按 1:2 的比例配置电影数字剪辑设备；电影摄影创作方向应按 1:3 的比例配置分辨率在 2k 以上的数字摄影设备和剪辑设备，灯光设备适应实景内景照明需求；电影美术创作、电影特技创作方向应配备设计工作室、绿屏特技摄影棚、特技工作室，应按 1:2 的比例配置特技电脑工作站；电影动漫制作方向应配备动画设计工作室，按 1:2 的比例配置电脑动画工作站。同时需具有电影资料库，具备电影史上公认的优秀中外影片，并方便学生拉片、观影。</w:t>
            </w:r>
          </w:p>
          <w:p>
            <w:pPr>
              <w:rPr>
                <w:rFonts w:ascii="宋体" w:hAnsi="宋体" w:eastAsia="宋体"/>
                <w:sz w:val="21"/>
                <w:szCs w:val="21"/>
              </w:rPr>
            </w:pPr>
            <w:r>
              <w:rPr>
                <w:rFonts w:hint="eastAsia" w:ascii="宋体" w:hAnsi="宋体" w:eastAsia="宋体"/>
                <w:sz w:val="21"/>
                <w:szCs w:val="21"/>
              </w:rPr>
              <w:t>（5）广播电视领域：须为编导创作方向研究生配备足量的佳能 5D MARKII 及以上相当档次的照相设备，具有相关专业档次摄像、灯光、后期编播设备；须拥有可以提供演出的不少于 200 人规模的综合性演出放映场所，灯光、音响和数字放映设备齐全，且必须有不少于100 平方米的摄制演播棚；拥有与专业相关的经典影像、节目、戏剧戏曲视频碟带不低于 5000</w:t>
            </w:r>
          </w:p>
          <w:p>
            <w:pPr>
              <w:rPr>
                <w:rFonts w:ascii="宋体" w:hAnsi="宋体" w:eastAsia="宋体"/>
                <w:sz w:val="21"/>
                <w:szCs w:val="21"/>
              </w:rPr>
            </w:pPr>
            <w:r>
              <w:rPr>
                <w:rFonts w:hint="eastAsia" w:ascii="宋体" w:hAnsi="宋体" w:eastAsia="宋体"/>
                <w:sz w:val="21"/>
                <w:szCs w:val="21"/>
              </w:rPr>
              <w:t>件。</w:t>
            </w:r>
          </w:p>
          <w:p>
            <w:pPr>
              <w:rPr>
                <w:rFonts w:ascii="宋体" w:hAnsi="宋体" w:eastAsia="宋体"/>
                <w:sz w:val="21"/>
                <w:szCs w:val="21"/>
              </w:rPr>
            </w:pPr>
            <w:r>
              <w:rPr>
                <w:rFonts w:hint="eastAsia" w:ascii="宋体" w:hAnsi="宋体" w:eastAsia="宋体"/>
                <w:sz w:val="21"/>
                <w:szCs w:val="21"/>
              </w:rPr>
              <w:t>（6）舞蹈领域：须有用于舞蹈创作和表演实践的舞蹈服饰和道具；拥有 5 个 190 平米或8 个 130 平方米的标准化舞蹈教室（镜子、把杆、钢琴、地胶、多媒体播放设备）；拥有 450座以上规模、且相关舞台设备完备的舞蹈剧场，或 300 座以上规模的黑匣子剧场。</w:t>
            </w:r>
          </w:p>
          <w:p>
            <w:pPr>
              <w:rPr>
                <w:rFonts w:ascii="宋体" w:hAnsi="宋体" w:eastAsia="宋体"/>
                <w:sz w:val="21"/>
                <w:szCs w:val="21"/>
              </w:rPr>
            </w:pPr>
            <w:r>
              <w:rPr>
                <w:rFonts w:hint="eastAsia" w:ascii="宋体" w:hAnsi="宋体" w:eastAsia="宋体"/>
                <w:sz w:val="21"/>
                <w:szCs w:val="21"/>
              </w:rPr>
              <w:t>（7）美术领域：须配备研究生专用教室和展览空间；须拥有专业图书馆，收藏国内外艺  术史论经典著作不少于 2000 册、中外大师经典画册不少于 1500 册，中外重要艺术杂志 300 种，以及相关图像资料。</w:t>
            </w:r>
          </w:p>
          <w:p>
            <w:pPr>
              <w:rPr>
                <w:rFonts w:ascii="宋体" w:hAnsi="宋体" w:eastAsia="宋体"/>
                <w:sz w:val="21"/>
                <w:szCs w:val="21"/>
              </w:rPr>
            </w:pPr>
            <w:r>
              <w:rPr>
                <w:rFonts w:hint="eastAsia" w:ascii="宋体" w:hAnsi="宋体" w:eastAsia="宋体"/>
                <w:sz w:val="21"/>
                <w:szCs w:val="21"/>
              </w:rPr>
              <w:t>（8）艺术设计领域：须配备生均不少于 4 平方米的专用教室；须提供与招生专业相关的实践实验空间和设备；拥有一定数量的电子图像资料和阅览条件。此外，音乐、戏剧、电影、 广播电视及舞蹈领域申请单位须拥有 200 座位以上的学术报告厅；拥有与专业直接相关的图书不少于 20000 册，国内外学术期刊不少于 30 种，音像资源不少于 1 万小时；同时，图书馆应有能与国外专业数据库连接的接口、并具备使用这些专业数据库的资格与条件。</w:t>
            </w:r>
          </w:p>
          <w:p>
            <w:pPr>
              <w:rPr>
                <w:rFonts w:ascii="宋体" w:hAnsi="宋体" w:eastAsia="宋体"/>
                <w:sz w:val="21"/>
                <w:szCs w:val="21"/>
              </w:rPr>
            </w:pPr>
            <w:r>
              <w:rPr>
                <w:rFonts w:hint="eastAsia" w:ascii="宋体" w:hAnsi="宋体" w:eastAsia="宋体"/>
                <w:sz w:val="21"/>
                <w:szCs w:val="21"/>
              </w:rPr>
              <w:t>申请单位还须健全研究生教育管理机构，建立完备的学风与道德建设制度以及科学、合理的研究生奖助学金激励机制。</w:t>
            </w:r>
          </w:p>
        </w:tc>
        <w:tc>
          <w:tcPr>
            <w:tcW w:w="3238" w:type="dxa"/>
          </w:tcPr>
          <w:p>
            <w:pPr>
              <w:spacing w:line="294" w:lineRule="auto"/>
              <w:rPr>
                <w:rFonts w:ascii="宋体" w:hAnsi="宋体" w:eastAsia="宋体"/>
                <w:b/>
                <w:bCs/>
                <w:sz w:val="21"/>
                <w:szCs w:val="21"/>
              </w:rPr>
            </w:pPr>
          </w:p>
        </w:tc>
        <w:tc>
          <w:tcPr>
            <w:tcW w:w="3238" w:type="dxa"/>
          </w:tcPr>
          <w:p>
            <w:pPr>
              <w:spacing w:line="294" w:lineRule="auto"/>
              <w:rPr>
                <w:rFonts w:ascii="宋体" w:hAnsi="宋体" w:eastAsia="宋体"/>
                <w:b/>
                <w:bCs/>
                <w:sz w:val="21"/>
                <w:szCs w:val="21"/>
              </w:rPr>
            </w:pPr>
          </w:p>
        </w:tc>
        <w:tc>
          <w:tcPr>
            <w:tcW w:w="1060"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spacing w:line="294" w:lineRule="auto"/>
              <w:jc w:val="center"/>
              <w:rPr>
                <w:rFonts w:ascii="宋体" w:hAnsi="宋体" w:eastAsia="宋体"/>
                <w:b/>
                <w:bCs/>
                <w:sz w:val="21"/>
                <w:szCs w:val="21"/>
              </w:rPr>
            </w:pPr>
            <w:r>
              <w:rPr>
                <w:rFonts w:hint="eastAsia" w:ascii="宋体" w:hAnsi="宋体" w:eastAsia="宋体"/>
                <w:b/>
                <w:bCs/>
                <w:w w:val="98"/>
                <w:sz w:val="21"/>
                <w:szCs w:val="21"/>
              </w:rPr>
              <w:t>□否</w:t>
            </w:r>
          </w:p>
        </w:tc>
        <w:tc>
          <w:tcPr>
            <w:tcW w:w="3024" w:type="dxa"/>
          </w:tcPr>
          <w:p>
            <w:pPr>
              <w:rPr>
                <w:rFonts w:hint="eastAsia" w:ascii="宋体" w:hAnsi="宋体" w:eastAsia="宋体"/>
                <w:b/>
                <w:bCs/>
                <w:w w:val="98"/>
                <w:sz w:val="21"/>
                <w:szCs w:val="21"/>
              </w:rPr>
            </w:pPr>
          </w:p>
        </w:tc>
      </w:tr>
    </w:tbl>
    <w:p>
      <w:pPr>
        <w:rPr>
          <w:rFonts w:ascii="宋体" w:hAnsi="宋体" w:eastAsia="宋体"/>
        </w:rPr>
      </w:pPr>
    </w:p>
    <w:sectPr>
      <w:footerReference r:id="rId3" w:type="default"/>
      <w:pgSz w:w="16838" w:h="11906" w:orient="landscape"/>
      <w:pgMar w:top="1418" w:right="1134" w:bottom="1418"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56374160"/>
    </w:sdtPr>
    <w:sdtEndPr>
      <w:rPr>
        <w:rFonts w:ascii="Times New Roman" w:hAnsi="Times New Roman" w:cs="Times New Roman"/>
      </w:rPr>
    </w:sdtEndPr>
    <w:sdtContent>
      <w:p>
        <w:pPr>
          <w:pStyle w:val="2"/>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5</w:t>
        </w:r>
        <w:r>
          <w:rPr>
            <w:rFonts w:ascii="Times New Roman" w:hAnsi="Times New Roman" w:cs="Times New Roman"/>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mZDMwZTI3MDg0NGJkNzdiMTg5ZDIxMzk1MDU3ZjIifQ=="/>
  </w:docVars>
  <w:rsids>
    <w:rsidRoot w:val="008D6138"/>
    <w:rsid w:val="000D237D"/>
    <w:rsid w:val="001B3C5B"/>
    <w:rsid w:val="00340E26"/>
    <w:rsid w:val="00344478"/>
    <w:rsid w:val="00362B60"/>
    <w:rsid w:val="00420359"/>
    <w:rsid w:val="00422F8B"/>
    <w:rsid w:val="00533A24"/>
    <w:rsid w:val="005B1BD7"/>
    <w:rsid w:val="007238E2"/>
    <w:rsid w:val="007D1289"/>
    <w:rsid w:val="00817BE4"/>
    <w:rsid w:val="008656FD"/>
    <w:rsid w:val="008D6138"/>
    <w:rsid w:val="0092156B"/>
    <w:rsid w:val="009B13B9"/>
    <w:rsid w:val="00A57430"/>
    <w:rsid w:val="00BD644B"/>
    <w:rsid w:val="00C1318D"/>
    <w:rsid w:val="00C20324"/>
    <w:rsid w:val="00DA3370"/>
    <w:rsid w:val="00DF2B8A"/>
    <w:rsid w:val="15305968"/>
    <w:rsid w:val="1FF2465A"/>
    <w:rsid w:val="40C35677"/>
    <w:rsid w:val="41AD57CA"/>
    <w:rsid w:val="4EBF3E95"/>
    <w:rsid w:val="6D624A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widowControl w:val="0"/>
      <w:tabs>
        <w:tab w:val="center" w:pos="4153"/>
        <w:tab w:val="right" w:pos="8306"/>
      </w:tabs>
      <w:snapToGrid w:val="0"/>
    </w:pPr>
    <w:rPr>
      <w:rFonts w:asciiTheme="minorHAnsi" w:hAnsiTheme="minorHAnsi" w:cstheme="minorBidi"/>
      <w:kern w:val="2"/>
      <w:sz w:val="18"/>
      <w:szCs w:val="18"/>
    </w:rPr>
  </w:style>
  <w:style w:type="paragraph" w:styleId="3">
    <w:name w:val="header"/>
    <w:basedOn w:val="1"/>
    <w:link w:val="6"/>
    <w:unhideWhenUsed/>
    <w:uiPriority w:val="99"/>
    <w:pPr>
      <w:widowControl w:val="0"/>
      <w:pBdr>
        <w:bottom w:val="single" w:color="auto" w:sz="6" w:space="1"/>
      </w:pBdr>
      <w:tabs>
        <w:tab w:val="center" w:pos="4153"/>
        <w:tab w:val="right" w:pos="8306"/>
      </w:tabs>
      <w:snapToGrid w:val="0"/>
      <w:jc w:val="center"/>
    </w:pPr>
    <w:rPr>
      <w:rFonts w:asciiTheme="minorHAnsi" w:hAnsiTheme="minorHAnsi" w:cstheme="minorBidi"/>
      <w:kern w:val="2"/>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2919</Words>
  <Characters>3038</Characters>
  <Lines>23</Lines>
  <Paragraphs>6</Paragraphs>
  <TotalTime>0</TotalTime>
  <ScaleCrop>false</ScaleCrop>
  <LinksUpToDate>false</LinksUpToDate>
  <CharactersWithSpaces>3181</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2020-10-13T01:12:00Z</dcterms:created>
  <dc:creator>温 超东</dc:creator>
  <cp:lastModifiedBy>hbue</cp:lastModifiedBy>
  <dcterms:modified xsi:type="dcterms:W3CDTF">2022-06-21T09:01:02Z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63DF028D3C6A4DAEAF9B295DE2DC708A</vt:lpwstr>
  </property>
</Properties>
</file>