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hint="default" w:ascii="宋体" w:hAnsi="宋体" w:eastAsia="黑体"/>
          <w:b/>
          <w:bCs/>
          <w:sz w:val="44"/>
          <w:szCs w:val="44"/>
          <w:lang w:val="en-US" w:eastAsia="zh-CN"/>
        </w:rPr>
      </w:pPr>
      <w:r>
        <w:rPr>
          <w:rFonts w:hint="eastAsia" w:ascii="黑体" w:hAnsi="黑体" w:eastAsia="黑体" w:cs="黑体"/>
          <w:b/>
          <w:bCs/>
          <w:sz w:val="32"/>
          <w:szCs w:val="32"/>
        </w:rPr>
        <w:t>申请新增公共管理硕士专业学位授权点基本条件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学位点代码：1252</w:t>
      </w:r>
      <w:r>
        <w:rPr>
          <w:rFonts w:ascii="宋体" w:hAnsi="宋体" w:eastAsia="宋体"/>
          <w:b/>
          <w:bCs/>
          <w:sz w:val="24"/>
          <w:szCs w:val="24"/>
        </w:rPr>
        <w:t xml:space="preserve">                          </w:t>
      </w:r>
      <w:r>
        <w:rPr>
          <w:rFonts w:hint="eastAsia" w:ascii="宋体" w:hAnsi="宋体" w:eastAsia="宋体"/>
          <w:b/>
          <w:bCs/>
          <w:sz w:val="24"/>
          <w:szCs w:val="24"/>
        </w:rPr>
        <w:t xml:space="preserve">  学位点名称：公共管理</w:t>
      </w:r>
    </w:p>
    <w:tbl>
      <w:tblPr>
        <w:tblStyle w:val="5"/>
        <w:tblW w:w="13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430"/>
        <w:gridCol w:w="2988"/>
        <w:gridCol w:w="2988"/>
        <w:gridCol w:w="988"/>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3862"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2988"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2988"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0" w:name="_GoBack"/>
            <w:bookmarkEnd w:id="0"/>
            <w:r>
              <w:rPr>
                <w:rFonts w:hint="eastAsia" w:ascii="宋体" w:hAnsi="宋体" w:eastAsia="宋体"/>
                <w:b/>
                <w:bCs/>
                <w:sz w:val="21"/>
                <w:szCs w:val="21"/>
              </w:rPr>
              <w:t>（根据申请基本条件，逐项描述达标情况）</w:t>
            </w:r>
          </w:p>
        </w:tc>
        <w:tc>
          <w:tcPr>
            <w:tcW w:w="988"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131"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专业特色</w:t>
            </w:r>
          </w:p>
        </w:tc>
        <w:tc>
          <w:tcPr>
            <w:tcW w:w="3430"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hint="eastAsia" w:ascii="宋体" w:hAnsi="宋体" w:eastAsia="宋体"/>
                <w:sz w:val="21"/>
                <w:szCs w:val="21"/>
              </w:rPr>
              <w:t>公共管理硕士（Master of Public Administration，缩写为 MPA）专业学位是以公共管理及相近学科为基础的研究生教育项目，旨在为党政部门及非政府公共机构培养从事公共管理、公共事务和公共政策分析的高层次、应用型、复合型专门人才，强调理论与实践相结合，注重实践能力与素质培养。MPA 教育要求学生具有良好的政治素质、道德水平和专业能力，培育学生从事公共管理所必需的政治意识、公共精神和创新精神，养成其组织领导、政策分析和团队合作素质，训练其运用公共管理及相近学科知识分析和解决实际问题的能力。申请单位应结合自身学科和专业优势，根据地域特点和区域发展需求，明确在办学理念、培养模式、行业领域等方面的定位，突出办学特色。</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430"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hint="eastAsia" w:ascii="宋体" w:hAnsi="宋体" w:eastAsia="宋体"/>
                <w:sz w:val="21"/>
                <w:szCs w:val="21"/>
              </w:rPr>
              <w:t>申请单位应具备数量充足的“双师型”（专任教师和行业导师）师资队伍。其中，专任教师不少于 35 人，行业导师不少于 15 人。行业导师是指培养院校选聘的，实质性地参与教学培养工作的，具有扎实理论功底、丰富实践经验的政府部门和其他公共机构的中高层领导干部。申请单位应根据《公共管理硕士专业学位研究生指导性培养方案》对学分和课程的要求，制定授课计划。其中拟开设的各门核心课程应配备至少 2 名具有博士学位或副教授以上职称的专任教师，同一名教师原则上不应作为不同核心课程的核心成员；授课计划中拟开设的各门专业方向课程应配备至少 1 名专任教师和 1 名行业导师</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0"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hint="eastAsia" w:ascii="宋体" w:hAnsi="宋体" w:eastAsia="宋体"/>
                <w:sz w:val="21"/>
                <w:szCs w:val="21"/>
              </w:rPr>
              <w:t>专任教师应具有副高以上职称或博士学位，其中具有公共管理及相近专业博士学位的教师不低于 50%；具有实践经验（包括参与过实际部门工作或主持过相关横向研究项目）的比例不低于 80%。在拟讲授核心课程的专任教师中，具有 2 次以上相近课程授课经验的教师所占比例不低于 60%，教授所占比例不低于 40%。专任教师队伍应具备较好的年龄梯度，其中 30 岁以下和 60 岁以上的专任教师人数均不得超过 15%。每名专任教师近 3 年内应至少参加 2 次校外组织的公共管理教育相关的培训、专业研修、课程研讨、考察交流或出国进修等活动</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0"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w:t>
            </w:r>
            <w:r>
              <w:rPr>
                <w:rFonts w:ascii="宋体" w:hAnsi="宋体" w:eastAsia="宋体"/>
                <w:b/>
                <w:bCs/>
                <w:sz w:val="21"/>
                <w:szCs w:val="21"/>
              </w:rPr>
              <w:t>骨干</w:t>
            </w:r>
            <w:r>
              <w:rPr>
                <w:rFonts w:hint="eastAsia" w:ascii="宋体" w:hAnsi="宋体" w:eastAsia="宋体"/>
                <w:b/>
                <w:bCs/>
                <w:sz w:val="21"/>
                <w:szCs w:val="21"/>
              </w:rPr>
              <w:t>教师</w:t>
            </w:r>
          </w:p>
          <w:p>
            <w:pPr>
              <w:rPr>
                <w:rFonts w:ascii="宋体" w:hAnsi="宋体" w:eastAsia="宋体"/>
                <w:sz w:val="21"/>
                <w:szCs w:val="21"/>
              </w:rPr>
            </w:pPr>
            <w:r>
              <w:rPr>
                <w:rFonts w:hint="eastAsia" w:ascii="宋体" w:hAnsi="宋体" w:eastAsia="宋体"/>
                <w:sz w:val="21"/>
                <w:szCs w:val="21"/>
              </w:rPr>
              <w:t>至少有 5 名骨干教师，“公共管理”和“公共政策分析”这两门核心课程的骨干教师均应不少于 2 名。每名骨干教师在公共管理及相近领域发表的高水平学术成果不少于2篇，主持的省部级及以上相关科研课题不少于 2 项，在本单位或其他单位的公共管理相近学科指导过 2 名以上硕士研究生，并至少在一个相关学术团体担任职务</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430"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w:t>
            </w:r>
            <w:r>
              <w:rPr>
                <w:rFonts w:ascii="宋体" w:hAnsi="宋体" w:eastAsia="宋体"/>
                <w:b/>
                <w:bCs/>
                <w:sz w:val="21"/>
                <w:szCs w:val="21"/>
              </w:rPr>
              <w:t>课程与教学</w:t>
            </w:r>
          </w:p>
          <w:p>
            <w:pPr>
              <w:rPr>
                <w:rFonts w:ascii="宋体" w:hAnsi="宋体" w:eastAsia="宋体"/>
                <w:sz w:val="21"/>
                <w:szCs w:val="21"/>
              </w:rPr>
            </w:pPr>
            <w:r>
              <w:rPr>
                <w:rFonts w:hint="eastAsia" w:ascii="宋体" w:hAnsi="宋体" w:eastAsia="宋体"/>
                <w:sz w:val="21"/>
                <w:szCs w:val="21"/>
              </w:rPr>
              <w:t>申请单位应有公共管理或应用经济学、法学、政治学、社会学、管理科学与工程、工商管理、农林经济管理等学科支撑，开展 8 年及以上本科教育工作，生源充足，毕业生人数超过 200 人。根据《公共管理硕士专业学位研究生指导性培养方案》的要求，结合本单位师资力量、学科特色等实际情况拟定科学合理的课程计划，提出一个以上特色专业方向建设计划</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0"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w:t>
            </w:r>
            <w:r>
              <w:rPr>
                <w:rFonts w:ascii="宋体" w:hAnsi="宋体" w:eastAsia="宋体"/>
                <w:b/>
                <w:bCs/>
                <w:sz w:val="21"/>
                <w:szCs w:val="21"/>
              </w:rPr>
              <w:t>培养质量</w:t>
            </w:r>
          </w:p>
          <w:p>
            <w:pPr>
              <w:rPr>
                <w:rFonts w:ascii="宋体" w:hAnsi="宋体" w:eastAsia="宋体"/>
                <w:sz w:val="21"/>
                <w:szCs w:val="21"/>
              </w:rPr>
            </w:pPr>
            <w:r>
              <w:rPr>
                <w:rFonts w:hint="eastAsia" w:ascii="宋体" w:hAnsi="宋体" w:eastAsia="宋体"/>
                <w:sz w:val="21"/>
                <w:szCs w:val="21"/>
              </w:rPr>
              <w:t>近 5 年，申请单位至少获得 1 项省部级及以上公共管理相关的高等教育教学成果奖。近 5 年，申请单位相近学科的本科毕业生和研究生的学位论文选题与公共事务密切相关，一次性就业率较高，就业去向以公共部门为主，且得到用人单位的认可</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430"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w:t>
            </w:r>
            <w:r>
              <w:rPr>
                <w:rFonts w:ascii="宋体" w:hAnsi="宋体" w:eastAsia="宋体"/>
                <w:b/>
                <w:bCs/>
                <w:sz w:val="21"/>
                <w:szCs w:val="21"/>
              </w:rPr>
              <w:t>科</w:t>
            </w:r>
            <w:r>
              <w:rPr>
                <w:rFonts w:hint="eastAsia" w:ascii="宋体" w:hAnsi="宋体" w:eastAsia="宋体"/>
                <w:b/>
                <w:bCs/>
                <w:sz w:val="21"/>
                <w:szCs w:val="21"/>
              </w:rPr>
              <w:t>研水平</w:t>
            </w:r>
          </w:p>
          <w:p>
            <w:pPr>
              <w:rPr>
                <w:rFonts w:ascii="宋体" w:hAnsi="宋体" w:eastAsia="宋体"/>
                <w:sz w:val="21"/>
                <w:szCs w:val="21"/>
              </w:rPr>
            </w:pPr>
            <w:r>
              <w:rPr>
                <w:rFonts w:hint="eastAsia" w:ascii="宋体" w:hAnsi="宋体" w:eastAsia="宋体"/>
                <w:sz w:val="21"/>
                <w:szCs w:val="21"/>
              </w:rPr>
              <w:t>近 5 年，专任教师年人均科研成果不少于 1 项，包括公开发表的论文、研究报告、案例等</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0"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8实践教学</w:t>
            </w:r>
          </w:p>
          <w:p>
            <w:pPr>
              <w:rPr>
                <w:rFonts w:ascii="宋体" w:hAnsi="宋体" w:eastAsia="宋体"/>
                <w:sz w:val="21"/>
                <w:szCs w:val="21"/>
              </w:rPr>
            </w:pPr>
            <w:r>
              <w:rPr>
                <w:rFonts w:hint="eastAsia" w:ascii="宋体" w:hAnsi="宋体" w:eastAsia="宋体"/>
                <w:sz w:val="21"/>
                <w:szCs w:val="21"/>
              </w:rPr>
              <w:t>具备开展案例教学的基础和经验，制定有激励师生编写案例的制度和政策。近 5 年，邀请公共部门领导干部进校就公共管理热点问题进行研讨交流、开设讲座的活动年均不少于 2 次</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430" w:type="dxa"/>
          </w:tcPr>
          <w:p>
            <w:pPr>
              <w:rPr>
                <w:rFonts w:ascii="宋体" w:hAnsi="宋体" w:eastAsia="宋体"/>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w:t>
            </w:r>
            <w:r>
              <w:rPr>
                <w:rFonts w:ascii="宋体" w:hAnsi="宋体" w:eastAsia="宋体"/>
                <w:sz w:val="21"/>
                <w:szCs w:val="21"/>
              </w:rPr>
              <w:t xml:space="preserve"> </w:t>
            </w:r>
          </w:p>
          <w:p>
            <w:pPr>
              <w:rPr>
                <w:rFonts w:ascii="宋体" w:hAnsi="宋体" w:eastAsia="宋体"/>
                <w:sz w:val="21"/>
                <w:szCs w:val="21"/>
              </w:rPr>
            </w:pPr>
            <w:r>
              <w:rPr>
                <w:rFonts w:hint="eastAsia" w:ascii="宋体" w:hAnsi="宋体" w:eastAsia="宋体"/>
                <w:sz w:val="21"/>
                <w:szCs w:val="21"/>
              </w:rPr>
              <w:t>申请单位能够整合相关教学资源，承诺全校有且只有一个实体性 MPA 办学机构。有校级文件保障办学资金投入，确保大部分学费都用于 MPA 培养。能够成立专门的 MPA 教学管理机构，配备专职行政管理人员，建立规范的教学管理制度和教学质量保证体系。能够满足 MPA 教学对教室和案例研讨室的较高标准需求。能够为 MPA 专业学位研究生提供与在校学术型研究生同等标准的政策支持和学习条件，包括硬件设施、教学投入、学习保障和后勤服务等</w:t>
            </w:r>
            <w:r>
              <w:rPr>
                <w:rFonts w:ascii="宋体" w:hAnsi="宋体" w:eastAsia="宋体"/>
                <w:sz w:val="21"/>
                <w:szCs w:val="21"/>
              </w:rPr>
              <w:t>。</w:t>
            </w:r>
          </w:p>
        </w:tc>
        <w:tc>
          <w:tcPr>
            <w:tcW w:w="2988" w:type="dxa"/>
          </w:tcPr>
          <w:p>
            <w:pPr>
              <w:ind w:left="100"/>
              <w:jc w:val="both"/>
              <w:rPr>
                <w:rFonts w:ascii="宋体" w:hAnsi="宋体" w:eastAsia="宋体"/>
                <w:b/>
                <w:bCs/>
                <w:w w:val="98"/>
                <w:sz w:val="21"/>
                <w:szCs w:val="21"/>
              </w:rPr>
            </w:pPr>
          </w:p>
        </w:tc>
        <w:tc>
          <w:tcPr>
            <w:tcW w:w="2988" w:type="dxa"/>
          </w:tcPr>
          <w:p>
            <w:pPr>
              <w:ind w:left="100"/>
              <w:jc w:val="both"/>
              <w:rPr>
                <w:rFonts w:ascii="宋体" w:hAnsi="宋体" w:eastAsia="宋体"/>
                <w:b/>
                <w:bCs/>
                <w:w w:val="98"/>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hint="eastAsia" w:ascii="宋体" w:hAnsi="宋体" w:eastAsia="宋体"/>
                <w:b/>
                <w:bCs/>
                <w:sz w:val="21"/>
                <w:szCs w:val="21"/>
              </w:rPr>
              <w:t>5.其他要求</w:t>
            </w:r>
          </w:p>
        </w:tc>
        <w:tc>
          <w:tcPr>
            <w:tcW w:w="3430" w:type="dxa"/>
          </w:tcPr>
          <w:p>
            <w:pPr>
              <w:rPr>
                <w:rFonts w:ascii="宋体" w:hAnsi="宋体" w:eastAsia="宋体"/>
                <w:b/>
                <w:bCs/>
                <w:sz w:val="21"/>
                <w:szCs w:val="21"/>
              </w:rPr>
            </w:pPr>
            <w:r>
              <w:rPr>
                <w:rFonts w:hint="eastAsia" w:ascii="宋体" w:hAnsi="宋体" w:eastAsia="宋体"/>
                <w:b/>
                <w:bCs/>
                <w:sz w:val="21"/>
                <w:szCs w:val="21"/>
              </w:rPr>
              <w:t>5.10 其他要求</w:t>
            </w:r>
          </w:p>
          <w:p>
            <w:pPr>
              <w:rPr>
                <w:rFonts w:ascii="宋体" w:hAnsi="宋体" w:eastAsia="宋体"/>
                <w:sz w:val="21"/>
                <w:szCs w:val="21"/>
              </w:rPr>
            </w:pPr>
            <w:r>
              <w:rPr>
                <w:rFonts w:hint="eastAsia" w:ascii="宋体" w:hAnsi="宋体" w:eastAsia="宋体"/>
                <w:sz w:val="21"/>
                <w:szCs w:val="21"/>
              </w:rPr>
              <w:t>有充分证据表明本地区具有实现规模教育的 MPA 生源。</w:t>
            </w:r>
          </w:p>
        </w:tc>
        <w:tc>
          <w:tcPr>
            <w:tcW w:w="2988" w:type="dxa"/>
          </w:tcPr>
          <w:p>
            <w:pPr>
              <w:spacing w:line="322" w:lineRule="auto"/>
              <w:rPr>
                <w:rFonts w:ascii="宋体" w:hAnsi="宋体" w:eastAsia="宋体"/>
                <w:b/>
                <w:bCs/>
                <w:sz w:val="21"/>
                <w:szCs w:val="21"/>
              </w:rPr>
            </w:pPr>
          </w:p>
        </w:tc>
        <w:tc>
          <w:tcPr>
            <w:tcW w:w="2988" w:type="dxa"/>
          </w:tcPr>
          <w:p>
            <w:pPr>
              <w:spacing w:line="322" w:lineRule="auto"/>
              <w:rPr>
                <w:rFonts w:ascii="宋体" w:hAnsi="宋体" w:eastAsia="宋体"/>
                <w:b/>
                <w:bCs/>
                <w:sz w:val="21"/>
                <w:szCs w:val="21"/>
              </w:rPr>
            </w:pPr>
          </w:p>
        </w:tc>
        <w:tc>
          <w:tcPr>
            <w:tcW w:w="988"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131" w:type="dxa"/>
          </w:tcPr>
          <w:p>
            <w:pP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1126E8"/>
    <w:rsid w:val="00294B89"/>
    <w:rsid w:val="00316A69"/>
    <w:rsid w:val="00362B60"/>
    <w:rsid w:val="003862D5"/>
    <w:rsid w:val="0039753F"/>
    <w:rsid w:val="00817BE4"/>
    <w:rsid w:val="008656FD"/>
    <w:rsid w:val="008D6138"/>
    <w:rsid w:val="0092156B"/>
    <w:rsid w:val="00952F28"/>
    <w:rsid w:val="009B13B9"/>
    <w:rsid w:val="00A57430"/>
    <w:rsid w:val="00C20324"/>
    <w:rsid w:val="00CB35BD"/>
    <w:rsid w:val="00D3269B"/>
    <w:rsid w:val="00DF2B8A"/>
    <w:rsid w:val="00FF1326"/>
    <w:rsid w:val="07476BD7"/>
    <w:rsid w:val="078268F0"/>
    <w:rsid w:val="09956038"/>
    <w:rsid w:val="15004B8E"/>
    <w:rsid w:val="15305968"/>
    <w:rsid w:val="178E3DEE"/>
    <w:rsid w:val="1C984532"/>
    <w:rsid w:val="1FEB3A99"/>
    <w:rsid w:val="221C33CA"/>
    <w:rsid w:val="333A41AC"/>
    <w:rsid w:val="36D4066C"/>
    <w:rsid w:val="3D8C4633"/>
    <w:rsid w:val="3E515A10"/>
    <w:rsid w:val="3FDB4617"/>
    <w:rsid w:val="51FC3C5E"/>
    <w:rsid w:val="6D624AD1"/>
    <w:rsid w:val="733A1CF9"/>
    <w:rsid w:val="7C0D5E4A"/>
    <w:rsid w:val="7C33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paragraph" w:styleId="9">
    <w:name w:val="List Paragraph"/>
    <w:basedOn w:val="1"/>
    <w:qFormat/>
    <w:uiPriority w:val="1"/>
    <w:pPr>
      <w:ind w:left="104" w:firstLine="420"/>
      <w:jc w:val="both"/>
    </w:pPr>
    <w:rPr>
      <w:rFonts w:ascii="宋体" w:hAnsi="宋体" w:eastAsia="宋体" w:cs="宋体"/>
    </w:rPr>
  </w:style>
  <w:style w:type="character" w:customStyle="1" w:styleId="10">
    <w:name w:val="批注框文本 字符"/>
    <w:basedOn w:val="6"/>
    <w:link w:val="2"/>
    <w:semiHidden/>
    <w:qFormat/>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1756</Words>
  <Characters>1844</Characters>
  <Lines>14</Lines>
  <Paragraphs>4</Paragraphs>
  <TotalTime>2</TotalTime>
  <ScaleCrop>false</ScaleCrop>
  <LinksUpToDate>false</LinksUpToDate>
  <CharactersWithSpaces>1945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2022-06-21T09:00:31Z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AD79D466958A4F45909C74235AE35F29</vt:lpwstr>
  </property>
</Properties>
</file>