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ascii="黑体" w:hAnsi="黑体" w:eastAsia="黑体" w:cs="黑体"/>
          <w:b/>
          <w:bCs/>
          <w:sz w:val="32"/>
          <w:szCs w:val="32"/>
        </w:rPr>
      </w:pPr>
      <w:r>
        <w:rPr>
          <w:rFonts w:hint="eastAsia" w:ascii="黑体" w:hAnsi="黑体" w:eastAsia="黑体" w:cs="黑体"/>
          <w:b/>
          <w:bCs/>
          <w:sz w:val="32"/>
          <w:szCs w:val="32"/>
        </w:rPr>
        <w:t>申请新增工商管理</w:t>
      </w:r>
      <w:r>
        <w:rPr>
          <w:rFonts w:hint="eastAsia" w:ascii="黑体" w:hAnsi="黑体" w:eastAsia="黑体" w:cs="黑体"/>
          <w:b/>
          <w:bCs/>
          <w:sz w:val="32"/>
          <w:szCs w:val="32"/>
          <w:lang w:val="en-US" w:eastAsia="zh-CN"/>
        </w:rPr>
        <w:t>学</w:t>
      </w:r>
      <w:r>
        <w:rPr>
          <w:rFonts w:hint="eastAsia" w:ascii="黑体" w:hAnsi="黑体" w:eastAsia="黑体" w:cs="黑体"/>
          <w:b/>
          <w:bCs/>
          <w:sz w:val="32"/>
          <w:szCs w:val="32"/>
        </w:rPr>
        <w:t>一级学科硕士学位授权点基本条件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rPr>
        <w:t>学位点代码：1202</w:t>
      </w:r>
      <w:r>
        <w:rPr>
          <w:rFonts w:ascii="宋体" w:hAnsi="宋体" w:eastAsia="宋体"/>
          <w:b/>
          <w:bCs/>
          <w:sz w:val="24"/>
          <w:szCs w:val="24"/>
        </w:rPr>
        <w:t xml:space="preserve">                            </w:t>
      </w:r>
      <w:r>
        <w:rPr>
          <w:rFonts w:hint="eastAsia" w:ascii="宋体" w:hAnsi="宋体" w:eastAsia="宋体"/>
          <w:b/>
          <w:bCs/>
          <w:sz w:val="24"/>
          <w:szCs w:val="24"/>
        </w:rPr>
        <w:t>学位点名称：工商管理</w:t>
      </w:r>
      <w:r>
        <w:rPr>
          <w:rFonts w:hint="eastAsia" w:ascii="宋体" w:hAnsi="宋体" w:eastAsia="宋体"/>
          <w:b/>
          <w:bCs/>
          <w:sz w:val="24"/>
          <w:szCs w:val="24"/>
          <w:lang w:val="en-US" w:eastAsia="zh-CN"/>
        </w:rPr>
        <w:t>学</w:t>
      </w:r>
    </w:p>
    <w:tbl>
      <w:tblPr>
        <w:tblStyle w:val="5"/>
        <w:tblW w:w="14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538"/>
        <w:gridCol w:w="3202"/>
        <w:gridCol w:w="3202"/>
        <w:gridCol w:w="1048"/>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4100"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202"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202"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48"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250"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restart"/>
          </w:tcPr>
          <w:p>
            <w:pPr>
              <w:rPr>
                <w:rFonts w:ascii="宋体" w:hAnsi="宋体" w:eastAsia="宋体"/>
                <w:b/>
                <w:bCs/>
                <w:sz w:val="21"/>
                <w:szCs w:val="21"/>
              </w:rPr>
            </w:pPr>
            <w:r>
              <w:rPr>
                <w:rFonts w:ascii="宋体" w:hAnsi="宋体" w:eastAsia="宋体"/>
                <w:b/>
                <w:bCs/>
                <w:sz w:val="21"/>
                <w:szCs w:val="21"/>
              </w:rPr>
              <w:t>1.学科方向与特色</w:t>
            </w:r>
          </w:p>
        </w:tc>
        <w:tc>
          <w:tcPr>
            <w:tcW w:w="3538" w:type="dxa"/>
          </w:tcPr>
          <w:p>
            <w:pPr>
              <w:rPr>
                <w:rFonts w:ascii="宋体" w:hAnsi="宋体" w:eastAsia="宋体"/>
                <w:b/>
                <w:bCs/>
                <w:sz w:val="21"/>
                <w:szCs w:val="21"/>
              </w:rPr>
            </w:pPr>
            <w:r>
              <w:rPr>
                <w:rFonts w:ascii="宋体" w:hAnsi="宋体" w:eastAsia="宋体"/>
                <w:b/>
                <w:bCs/>
                <w:sz w:val="21"/>
                <w:szCs w:val="21"/>
              </w:rPr>
              <w:t>1.1学科方向</w:t>
            </w:r>
          </w:p>
          <w:p>
            <w:pPr>
              <w:rPr>
                <w:rFonts w:ascii="宋体" w:hAnsi="宋体" w:eastAsia="宋体"/>
                <w:sz w:val="21"/>
                <w:szCs w:val="21"/>
              </w:rPr>
            </w:pPr>
            <w:r>
              <w:rPr>
                <w:rFonts w:hint="eastAsia" w:ascii="宋体" w:hAnsi="宋体" w:eastAsia="宋体"/>
                <w:sz w:val="21"/>
                <w:szCs w:val="21"/>
              </w:rPr>
              <w:t>主干学科方向不少于3个。具体主干学科可参见《学位授予和人才培养学科简介》（2013 年）。</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continue"/>
            <w:vAlign w:val="center"/>
          </w:tcPr>
          <w:p>
            <w:pPr>
              <w:rPr>
                <w:rFonts w:ascii="宋体" w:hAnsi="宋体" w:eastAsia="宋体"/>
                <w:b/>
                <w:bCs/>
                <w:sz w:val="21"/>
                <w:szCs w:val="21"/>
              </w:rPr>
            </w:pPr>
          </w:p>
        </w:tc>
        <w:tc>
          <w:tcPr>
            <w:tcW w:w="3538" w:type="dxa"/>
          </w:tcPr>
          <w:p>
            <w:pPr>
              <w:rPr>
                <w:rFonts w:ascii="宋体" w:hAnsi="宋体" w:eastAsia="宋体"/>
                <w:b/>
                <w:bCs/>
                <w:sz w:val="21"/>
                <w:szCs w:val="21"/>
              </w:rPr>
            </w:pPr>
            <w:r>
              <w:rPr>
                <w:rFonts w:ascii="宋体" w:hAnsi="宋体" w:eastAsia="宋体"/>
                <w:b/>
                <w:bCs/>
                <w:sz w:val="21"/>
                <w:szCs w:val="21"/>
              </w:rPr>
              <w:t>1.2学科特色</w:t>
            </w:r>
          </w:p>
          <w:p>
            <w:pPr>
              <w:rPr>
                <w:rFonts w:ascii="宋体" w:hAnsi="宋体" w:eastAsia="宋体"/>
                <w:sz w:val="21"/>
                <w:szCs w:val="21"/>
              </w:rPr>
            </w:pPr>
            <w:r>
              <w:rPr>
                <w:rFonts w:hint="eastAsia" w:ascii="宋体" w:hAnsi="宋体" w:eastAsia="宋体"/>
                <w:sz w:val="21"/>
                <w:szCs w:val="21"/>
              </w:rPr>
              <w:t>本学科点至少有</w:t>
            </w:r>
            <w:r>
              <w:rPr>
                <w:rFonts w:ascii="宋体" w:hAnsi="宋体" w:eastAsia="宋体"/>
                <w:sz w:val="21"/>
                <w:szCs w:val="21"/>
              </w:rPr>
              <w:t>1</w:t>
            </w:r>
            <w:r>
              <w:rPr>
                <w:rFonts w:hint="eastAsia" w:ascii="宋体" w:hAnsi="宋体" w:eastAsia="宋体"/>
                <w:sz w:val="21"/>
                <w:szCs w:val="21"/>
              </w:rPr>
              <w:t>个学科方向特色和优势明显，且面向本学科发展前沿，与国家、区域的需求契合度高，具有良好社会声誉。</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restart"/>
          </w:tcPr>
          <w:p>
            <w:pPr>
              <w:rPr>
                <w:rFonts w:ascii="宋体" w:hAnsi="宋体" w:eastAsia="宋体"/>
                <w:b/>
                <w:bCs/>
                <w:sz w:val="21"/>
                <w:szCs w:val="21"/>
              </w:rPr>
            </w:pPr>
            <w:r>
              <w:rPr>
                <w:rFonts w:hint="eastAsia" w:ascii="宋体" w:hAnsi="宋体" w:eastAsia="宋体"/>
                <w:b/>
                <w:bCs/>
                <w:sz w:val="21"/>
                <w:szCs w:val="21"/>
              </w:rPr>
              <w:t>2.</w:t>
            </w:r>
            <w:r>
              <w:rPr>
                <w:rFonts w:ascii="宋体" w:hAnsi="宋体" w:eastAsia="宋体"/>
                <w:b/>
                <w:bCs/>
                <w:sz w:val="21"/>
                <w:szCs w:val="21"/>
              </w:rPr>
              <w:t>学科队伍</w:t>
            </w:r>
          </w:p>
        </w:tc>
        <w:tc>
          <w:tcPr>
            <w:tcW w:w="3538" w:type="dxa"/>
          </w:tcPr>
          <w:p>
            <w:pPr>
              <w:rPr>
                <w:rFonts w:ascii="宋体" w:hAnsi="宋体" w:eastAsia="宋体"/>
                <w:b/>
                <w:bCs/>
                <w:sz w:val="21"/>
                <w:szCs w:val="21"/>
              </w:rPr>
            </w:pPr>
            <w:r>
              <w:rPr>
                <w:rFonts w:ascii="宋体" w:hAnsi="宋体" w:eastAsia="宋体"/>
                <w:b/>
                <w:bCs/>
                <w:sz w:val="21"/>
                <w:szCs w:val="21"/>
              </w:rPr>
              <w:t>2.3人员规模</w:t>
            </w:r>
          </w:p>
          <w:p>
            <w:pPr>
              <w:rPr>
                <w:rFonts w:ascii="宋体" w:hAnsi="宋体" w:eastAsia="宋体"/>
                <w:sz w:val="21"/>
                <w:szCs w:val="21"/>
              </w:rPr>
            </w:pPr>
            <w:r>
              <w:rPr>
                <w:rFonts w:hint="eastAsia" w:ascii="宋体" w:hAnsi="宋体" w:eastAsia="宋体"/>
                <w:sz w:val="21"/>
                <w:szCs w:val="21"/>
              </w:rPr>
              <w:t>专任教师不少于30人，每个学科方向专任教师队伍数量不低于7人</w:t>
            </w:r>
            <w:r>
              <w:rPr>
                <w:rFonts w:ascii="宋体" w:hAnsi="宋体" w:eastAsia="宋体"/>
                <w:sz w:val="21"/>
                <w:szCs w:val="21"/>
              </w:rPr>
              <w:t>。</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continue"/>
          </w:tcPr>
          <w:p>
            <w:pPr>
              <w:rPr>
                <w:rFonts w:ascii="宋体" w:hAnsi="宋体" w:eastAsia="宋体"/>
                <w:b/>
                <w:bCs/>
                <w:sz w:val="21"/>
                <w:szCs w:val="21"/>
              </w:rPr>
            </w:pPr>
          </w:p>
        </w:tc>
        <w:tc>
          <w:tcPr>
            <w:tcW w:w="3538" w:type="dxa"/>
          </w:tcPr>
          <w:p>
            <w:pPr>
              <w:rPr>
                <w:rFonts w:ascii="宋体" w:hAnsi="宋体" w:eastAsia="宋体"/>
                <w:b/>
                <w:bCs/>
                <w:sz w:val="21"/>
                <w:szCs w:val="21"/>
              </w:rPr>
            </w:pPr>
            <w:r>
              <w:rPr>
                <w:rFonts w:ascii="宋体" w:hAnsi="宋体" w:eastAsia="宋体"/>
                <w:b/>
                <w:bCs/>
                <w:sz w:val="21"/>
                <w:szCs w:val="21"/>
              </w:rPr>
              <w:t>2.4人员结构</w:t>
            </w:r>
          </w:p>
          <w:p>
            <w:pPr>
              <w:rPr>
                <w:rFonts w:ascii="宋体" w:hAnsi="宋体" w:eastAsia="宋体"/>
                <w:sz w:val="21"/>
                <w:szCs w:val="21"/>
              </w:rPr>
            </w:pPr>
            <w:r>
              <w:rPr>
                <w:rFonts w:hint="eastAsia" w:ascii="宋体" w:hAnsi="宋体" w:eastAsia="宋体"/>
                <w:sz w:val="21"/>
                <w:szCs w:val="21"/>
              </w:rPr>
              <w:t>职称结构、学历结构、年龄结构和学缘结构合理，学术梯队具有可持续发展能力。专任教师队伍中，具有高级职称（正高、副高）比例不低于40%；有一定比例的专任教师获外单位硕士以上学位；具有博士学位比例不低于40%；45岁以下教师占较大比例。有一支行业或实务界兼职教师队伍，能满足学生实践实习能力培养的需要</w:t>
            </w:r>
            <w:r>
              <w:rPr>
                <w:rFonts w:ascii="宋体" w:hAnsi="宋体" w:eastAsia="宋体"/>
                <w:sz w:val="21"/>
                <w:szCs w:val="21"/>
              </w:rPr>
              <w:t>。</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continue"/>
          </w:tcPr>
          <w:p>
            <w:pPr>
              <w:rPr>
                <w:rFonts w:ascii="宋体" w:hAnsi="宋体" w:eastAsia="宋体"/>
                <w:b/>
                <w:bCs/>
                <w:sz w:val="21"/>
                <w:szCs w:val="21"/>
              </w:rPr>
            </w:pPr>
          </w:p>
        </w:tc>
        <w:tc>
          <w:tcPr>
            <w:tcW w:w="3538" w:type="dxa"/>
          </w:tcPr>
          <w:p>
            <w:pPr>
              <w:rPr>
                <w:rFonts w:ascii="宋体" w:hAnsi="宋体" w:eastAsia="宋体"/>
                <w:b/>
                <w:bCs/>
                <w:sz w:val="21"/>
                <w:szCs w:val="21"/>
              </w:rPr>
            </w:pPr>
            <w:r>
              <w:rPr>
                <w:rFonts w:ascii="宋体" w:hAnsi="宋体" w:eastAsia="宋体"/>
                <w:b/>
                <w:bCs/>
                <w:sz w:val="21"/>
                <w:szCs w:val="21"/>
              </w:rPr>
              <w:t>2.5学科带头人与学术骨干</w:t>
            </w:r>
          </w:p>
          <w:p>
            <w:pPr>
              <w:rPr>
                <w:rFonts w:ascii="宋体" w:hAnsi="宋体" w:eastAsia="宋体"/>
                <w:sz w:val="21"/>
                <w:szCs w:val="21"/>
              </w:rPr>
            </w:pPr>
            <w:r>
              <w:rPr>
                <w:rFonts w:hint="eastAsia" w:ascii="宋体" w:hAnsi="宋体" w:eastAsia="宋体"/>
                <w:sz w:val="21"/>
                <w:szCs w:val="21"/>
              </w:rPr>
              <w:t>每个学科方向均有1名以上（含）学科带头人，2-3名学术骨干。学科带头人和学术骨干学术水平较高、在国内同行中有一定的学术影响；近五年在相关学科领域的重要期刊发表论文人均不低于3篇；具备指导硕士研究生水平、能力和经验，学科带头人和学术骨干在管理学及相近学科硕士点担任硕士生导师，并完整指导过至少一届硕士毕业生，其中学科带头人已经培养过6名以上的硕士生</w:t>
            </w:r>
            <w:r>
              <w:rPr>
                <w:rFonts w:ascii="宋体" w:hAnsi="宋体" w:eastAsia="宋体"/>
                <w:sz w:val="21"/>
                <w:szCs w:val="21"/>
              </w:rPr>
              <w:t>。</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538" w:type="dxa"/>
          </w:tcPr>
          <w:p>
            <w:pPr>
              <w:rPr>
                <w:rFonts w:ascii="宋体" w:hAnsi="宋体" w:eastAsia="宋体"/>
                <w:b/>
                <w:bCs/>
                <w:sz w:val="21"/>
                <w:szCs w:val="21"/>
              </w:rPr>
            </w:pPr>
            <w:r>
              <w:rPr>
                <w:rFonts w:ascii="宋体" w:hAnsi="宋体" w:eastAsia="宋体"/>
                <w:b/>
                <w:bCs/>
                <w:sz w:val="21"/>
                <w:szCs w:val="21"/>
              </w:rPr>
              <w:t>3.6课程与教学</w:t>
            </w:r>
          </w:p>
          <w:p>
            <w:pPr>
              <w:rPr>
                <w:rFonts w:ascii="宋体" w:hAnsi="宋体" w:eastAsia="宋体"/>
                <w:sz w:val="21"/>
                <w:szCs w:val="21"/>
              </w:rPr>
            </w:pPr>
            <w:r>
              <w:rPr>
                <w:rFonts w:hint="eastAsia" w:ascii="宋体" w:hAnsi="宋体" w:eastAsia="宋体"/>
                <w:sz w:val="21"/>
                <w:szCs w:val="21"/>
              </w:rPr>
              <w:t>已经制定比较完整的硕士生培养方案，拟开设的硕士生课程及结构等符合工商管理一级学科硕士学位的基本要求，且体现《教育部关于改进和加强研究生课程建设的意见》精神</w:t>
            </w:r>
            <w:r>
              <w:rPr>
                <w:rFonts w:ascii="宋体" w:hAnsi="宋体" w:eastAsia="宋体"/>
                <w:sz w:val="21"/>
                <w:szCs w:val="21"/>
              </w:rPr>
              <w:t>。</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continue"/>
          </w:tcPr>
          <w:p>
            <w:pPr>
              <w:rPr>
                <w:rFonts w:ascii="宋体" w:hAnsi="宋体" w:eastAsia="宋体"/>
                <w:b/>
                <w:bCs/>
                <w:sz w:val="21"/>
                <w:szCs w:val="21"/>
              </w:rPr>
            </w:pPr>
          </w:p>
        </w:tc>
        <w:tc>
          <w:tcPr>
            <w:tcW w:w="3538" w:type="dxa"/>
          </w:tcPr>
          <w:p>
            <w:pPr>
              <w:rPr>
                <w:rFonts w:ascii="宋体" w:hAnsi="宋体" w:eastAsia="宋体"/>
                <w:b/>
                <w:bCs/>
                <w:sz w:val="21"/>
                <w:szCs w:val="21"/>
              </w:rPr>
            </w:pPr>
            <w:r>
              <w:rPr>
                <w:rFonts w:ascii="宋体" w:hAnsi="宋体" w:eastAsia="宋体"/>
                <w:b/>
                <w:bCs/>
                <w:sz w:val="21"/>
                <w:szCs w:val="21"/>
              </w:rPr>
              <w:t>3.7培养质量</w:t>
            </w:r>
          </w:p>
          <w:p>
            <w:pPr>
              <w:rPr>
                <w:rFonts w:ascii="宋体" w:hAnsi="宋体" w:eastAsia="宋体"/>
                <w:sz w:val="21"/>
                <w:szCs w:val="21"/>
              </w:rPr>
            </w:pPr>
            <w:r>
              <w:rPr>
                <w:rFonts w:hint="eastAsia" w:ascii="宋体" w:hAnsi="宋体" w:eastAsia="宋体"/>
                <w:sz w:val="21"/>
                <w:szCs w:val="21"/>
              </w:rPr>
              <w:t>有丰富的培养本科生或硕士研究生的成功经验。毕业生质量较高，职业发展良好，受到社会的普遍好评。近五年本学科点获得省部级以上教学成果奖至少1项</w:t>
            </w:r>
            <w:r>
              <w:rPr>
                <w:rFonts w:ascii="宋体" w:hAnsi="宋体" w:eastAsia="宋体"/>
                <w:sz w:val="21"/>
                <w:szCs w:val="21"/>
              </w:rPr>
              <w:t>。</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538"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w:t>
            </w:r>
            <w:r>
              <w:rPr>
                <w:rFonts w:ascii="宋体" w:hAnsi="宋体" w:eastAsia="宋体"/>
                <w:b/>
                <w:bCs/>
                <w:sz w:val="21"/>
                <w:szCs w:val="21"/>
              </w:rPr>
              <w:t>科学研究</w:t>
            </w:r>
          </w:p>
          <w:p>
            <w:pPr>
              <w:rPr>
                <w:rFonts w:ascii="宋体" w:hAnsi="宋体" w:eastAsia="宋体"/>
                <w:sz w:val="21"/>
                <w:szCs w:val="21"/>
              </w:rPr>
            </w:pPr>
            <w:r>
              <w:rPr>
                <w:rFonts w:hint="eastAsia" w:ascii="宋体" w:hAnsi="宋体" w:eastAsia="宋体"/>
                <w:sz w:val="21"/>
                <w:szCs w:val="21"/>
              </w:rPr>
              <w:t>整体学术水平、科研能力在本地区同学科中处于先进行列。近五年来科研成果较显著，为国家经济建设、社会发展和科学技术进步做出贡献。近五年在本学科领域的重要期刊上发表了一定数量的高水平学术论文，主持省部级以上科研项目不少于15项。总体科研经费较为充足。本学科点近五年内实际获得并计入单位财务账目的科研经费年均不低于80万元，其中纵向经费年均不低于30万元。为学生参与科研项目提供条件。本学科点近五年获得省部级以上科研奖励不少于2项</w:t>
            </w:r>
            <w:r>
              <w:rPr>
                <w:rFonts w:ascii="宋体" w:hAnsi="宋体" w:eastAsia="宋体"/>
                <w:sz w:val="21"/>
                <w:szCs w:val="21"/>
              </w:rPr>
              <w:t>。</w:t>
            </w:r>
          </w:p>
        </w:tc>
        <w:tc>
          <w:tcPr>
            <w:tcW w:w="3202" w:type="dxa"/>
          </w:tcPr>
          <w:p>
            <w:pPr>
              <w:ind w:left="100"/>
              <w:jc w:val="both"/>
              <w:rPr>
                <w:rFonts w:ascii="宋体" w:hAnsi="宋体" w:eastAsia="宋体"/>
                <w:b/>
                <w:bCs/>
                <w:w w:val="98"/>
                <w:sz w:val="21"/>
                <w:szCs w:val="21"/>
              </w:rPr>
            </w:pPr>
          </w:p>
        </w:tc>
        <w:tc>
          <w:tcPr>
            <w:tcW w:w="3202" w:type="dxa"/>
          </w:tcPr>
          <w:p>
            <w:pPr>
              <w:ind w:left="100"/>
              <w:jc w:val="both"/>
              <w:rPr>
                <w:rFonts w:ascii="宋体" w:hAnsi="宋体" w:eastAsia="宋体"/>
                <w:b/>
                <w:bCs/>
                <w:w w:val="98"/>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continue"/>
          </w:tcPr>
          <w:p>
            <w:pPr>
              <w:rPr>
                <w:rFonts w:ascii="宋体" w:hAnsi="宋体" w:eastAsia="宋体"/>
                <w:sz w:val="21"/>
                <w:szCs w:val="21"/>
              </w:rPr>
            </w:pPr>
          </w:p>
        </w:tc>
        <w:tc>
          <w:tcPr>
            <w:tcW w:w="3538"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学术交流</w:t>
            </w:r>
          </w:p>
          <w:p>
            <w:pPr>
              <w:rPr>
                <w:rFonts w:ascii="宋体" w:hAnsi="宋体" w:eastAsia="宋体"/>
                <w:sz w:val="21"/>
                <w:szCs w:val="21"/>
              </w:rPr>
            </w:pPr>
            <w:r>
              <w:rPr>
                <w:rFonts w:hint="eastAsia" w:ascii="宋体" w:hAnsi="宋体" w:eastAsia="宋体"/>
                <w:sz w:val="21"/>
                <w:szCs w:val="21"/>
              </w:rPr>
              <w:t>学术氛围较为浓郁，能够开展学术交流与合作，并在国内具有一定的影响力。近五年参加国际学术会议和全国学术会议，教师人均不少于1次。有一定比例的相关学科硕士研究生在校期间参加学术会议。有充足的经费支持和鼓励研究生的学术活动</w:t>
            </w:r>
            <w:r>
              <w:rPr>
                <w:rFonts w:ascii="宋体" w:hAnsi="宋体" w:eastAsia="宋体"/>
                <w:sz w:val="21"/>
                <w:szCs w:val="21"/>
              </w:rPr>
              <w:t>。</w:t>
            </w:r>
          </w:p>
        </w:tc>
        <w:tc>
          <w:tcPr>
            <w:tcW w:w="3202" w:type="dxa"/>
          </w:tcPr>
          <w:p>
            <w:pPr>
              <w:spacing w:line="322" w:lineRule="auto"/>
              <w:rPr>
                <w:rFonts w:ascii="宋体" w:hAnsi="宋体" w:eastAsia="宋体"/>
                <w:b/>
                <w:bCs/>
                <w:sz w:val="21"/>
                <w:szCs w:val="21"/>
              </w:rPr>
            </w:pPr>
          </w:p>
        </w:tc>
        <w:tc>
          <w:tcPr>
            <w:tcW w:w="3202" w:type="dxa"/>
          </w:tcPr>
          <w:p>
            <w:pPr>
              <w:spacing w:line="322" w:lineRule="auto"/>
              <w:rPr>
                <w:rFonts w:ascii="宋体" w:hAnsi="宋体" w:eastAsia="宋体"/>
                <w:b/>
                <w:bCs/>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62" w:type="dxa"/>
            <w:vMerge w:val="continue"/>
          </w:tcPr>
          <w:p>
            <w:pPr>
              <w:rPr>
                <w:rFonts w:ascii="宋体" w:hAnsi="宋体" w:eastAsia="宋体"/>
                <w:sz w:val="21"/>
                <w:szCs w:val="21"/>
              </w:rPr>
            </w:pPr>
          </w:p>
        </w:tc>
        <w:tc>
          <w:tcPr>
            <w:tcW w:w="3538" w:type="dxa"/>
          </w:tcPr>
          <w:p>
            <w:pPr>
              <w:rPr>
                <w:rFonts w:ascii="宋体" w:hAnsi="宋体" w:eastAsia="宋体"/>
                <w:b/>
                <w:bCs/>
                <w:sz w:val="21"/>
                <w:szCs w:val="21"/>
              </w:rPr>
            </w:pPr>
            <w:r>
              <w:rPr>
                <w:rFonts w:ascii="宋体" w:hAnsi="宋体" w:eastAsia="宋体"/>
                <w:b/>
                <w:bCs/>
                <w:sz w:val="21"/>
                <w:szCs w:val="21"/>
              </w:rPr>
              <w:t>4.1</w:t>
            </w:r>
            <w:r>
              <w:rPr>
                <w:rFonts w:hint="eastAsia" w:ascii="宋体" w:hAnsi="宋体" w:eastAsia="宋体"/>
                <w:b/>
                <w:bCs/>
                <w:sz w:val="21"/>
                <w:szCs w:val="21"/>
              </w:rPr>
              <w:t>0</w:t>
            </w:r>
            <w:r>
              <w:rPr>
                <w:rFonts w:ascii="宋体" w:hAnsi="宋体" w:eastAsia="宋体"/>
                <w:b/>
                <w:bCs/>
                <w:sz w:val="21"/>
                <w:szCs w:val="21"/>
              </w:rPr>
              <w:t xml:space="preserve"> 支撑条件 </w:t>
            </w:r>
          </w:p>
          <w:p>
            <w:pPr>
              <w:rPr>
                <w:rFonts w:ascii="宋体" w:hAnsi="宋体" w:eastAsia="宋体"/>
                <w:sz w:val="21"/>
                <w:szCs w:val="21"/>
              </w:rPr>
            </w:pPr>
            <w:r>
              <w:rPr>
                <w:rFonts w:hint="eastAsia" w:ascii="宋体" w:hAnsi="宋体" w:eastAsia="宋体"/>
                <w:sz w:val="21"/>
                <w:szCs w:val="21"/>
              </w:rPr>
              <w:t>有用于研究生教学科研的平台、实验室和实践基地，有较先进的教学科研设备，有较充足的国内外图书资料、数据库，能满足培养硕士研究生的需要。学科建设和研究生培养管理制度和机构健全，管理人员落实。设立有针对本学科本科生或相关学科硕士研究生奖助学金。学风良好，开展学术规范及科研诚信宣传教育，有完备的学术不端行为处理机制及办法，且严格执行</w:t>
            </w:r>
            <w:r>
              <w:rPr>
                <w:rFonts w:ascii="宋体" w:hAnsi="宋体" w:eastAsia="宋体"/>
                <w:sz w:val="21"/>
                <w:szCs w:val="21"/>
              </w:rPr>
              <w:t>。</w:t>
            </w:r>
          </w:p>
        </w:tc>
        <w:tc>
          <w:tcPr>
            <w:tcW w:w="3202" w:type="dxa"/>
          </w:tcPr>
          <w:p>
            <w:pPr>
              <w:spacing w:line="294" w:lineRule="auto"/>
              <w:rPr>
                <w:rFonts w:ascii="宋体" w:hAnsi="宋体" w:eastAsia="宋体"/>
                <w:b/>
                <w:bCs/>
                <w:sz w:val="21"/>
                <w:szCs w:val="21"/>
              </w:rPr>
            </w:pPr>
          </w:p>
        </w:tc>
        <w:tc>
          <w:tcPr>
            <w:tcW w:w="3202" w:type="dxa"/>
          </w:tcPr>
          <w:p>
            <w:pPr>
              <w:spacing w:line="294" w:lineRule="auto"/>
              <w:rPr>
                <w:rFonts w:ascii="宋体" w:hAnsi="宋体" w:eastAsia="宋体"/>
                <w:b/>
                <w:bCs/>
                <w:sz w:val="21"/>
                <w:szCs w:val="21"/>
              </w:rPr>
            </w:pPr>
          </w:p>
        </w:tc>
        <w:tc>
          <w:tcPr>
            <w:tcW w:w="104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sz w:val="21"/>
                <w:szCs w:val="21"/>
              </w:rPr>
            </w:pPr>
            <w:r>
              <w:rPr>
                <w:rFonts w:hint="eastAsia" w:ascii="宋体" w:hAnsi="宋体" w:eastAsia="宋体"/>
                <w:b/>
                <w:bCs/>
                <w:w w:val="98"/>
                <w:sz w:val="21"/>
                <w:szCs w:val="21"/>
              </w:rPr>
              <w:t>□否</w:t>
            </w:r>
          </w:p>
        </w:tc>
        <w:tc>
          <w:tcPr>
            <w:tcW w:w="3250"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2F4BD7"/>
    <w:rsid w:val="00362B60"/>
    <w:rsid w:val="007A25EB"/>
    <w:rsid w:val="00817BE4"/>
    <w:rsid w:val="008656FD"/>
    <w:rsid w:val="008D6138"/>
    <w:rsid w:val="0092156B"/>
    <w:rsid w:val="00927A2D"/>
    <w:rsid w:val="00977656"/>
    <w:rsid w:val="009B13B9"/>
    <w:rsid w:val="00A57430"/>
    <w:rsid w:val="00AE1286"/>
    <w:rsid w:val="00BF76CB"/>
    <w:rsid w:val="00C20324"/>
    <w:rsid w:val="00CB593B"/>
    <w:rsid w:val="00DF2B8A"/>
    <w:rsid w:val="00E6218E"/>
    <w:rsid w:val="00F76D22"/>
    <w:rsid w:val="00FE6EBE"/>
    <w:rsid w:val="15305968"/>
    <w:rsid w:val="1FA776AD"/>
    <w:rsid w:val="20B816D0"/>
    <w:rsid w:val="23A60A93"/>
    <w:rsid w:val="2EB553AD"/>
    <w:rsid w:val="3E3441A1"/>
    <w:rsid w:val="40C35677"/>
    <w:rsid w:val="65450265"/>
    <w:rsid w:val="6D62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1302</Words>
  <Characters>1347</Characters>
  <Lines>10</Lines>
  <Paragraphs>2</Paragraphs>
  <TotalTime>0</TotalTime>
  <ScaleCrop>false</ScaleCrop>
  <LinksUpToDate>false</LinksUpToDate>
  <CharactersWithSpaces>1380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2022-06-21T08:58:09Z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3769E5CEC78D451FB2687A6965C2141C</vt:lpwstr>
  </property>
</Properties>
</file>