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29" w:lineRule="auto"/>
        <w:jc w:val="center"/>
        <w:rPr>
          <w:rFonts w:ascii="黑体" w:hAnsi="黑体" w:eastAsia="黑体" w:cs="黑体"/>
          <w:b/>
          <w:bCs/>
          <w:sz w:val="32"/>
          <w:szCs w:val="32"/>
        </w:rPr>
      </w:pPr>
      <w:r>
        <w:rPr>
          <w:rFonts w:hint="eastAsia" w:ascii="黑体" w:hAnsi="黑体" w:eastAsia="黑体" w:cs="黑体"/>
          <w:b/>
          <w:bCs/>
          <w:sz w:val="32"/>
          <w:szCs w:val="32"/>
        </w:rPr>
        <w:t>申请新增软件工程一级学科硕士学位授权点基本条件</w:t>
      </w:r>
      <w:r>
        <w:rPr>
          <w:rFonts w:hint="eastAsia" w:ascii="黑体" w:hAnsi="黑体" w:eastAsia="黑体" w:cs="黑体"/>
          <w:b/>
          <w:bCs/>
          <w:sz w:val="32"/>
          <w:szCs w:val="32"/>
          <w:lang w:val="en-US" w:eastAsia="zh-CN"/>
        </w:rPr>
        <w:t>建设清单</w:t>
      </w:r>
    </w:p>
    <w:p>
      <w:pPr>
        <w:spacing w:line="329" w:lineRule="auto"/>
        <w:ind w:firstLine="482" w:firstLineChars="200"/>
        <w:rPr>
          <w:rFonts w:ascii="宋体" w:hAnsi="宋体" w:eastAsia="宋体"/>
          <w:b/>
          <w:bCs/>
          <w:sz w:val="24"/>
          <w:szCs w:val="24"/>
        </w:rPr>
      </w:pPr>
      <w:r>
        <w:rPr>
          <w:rFonts w:hint="eastAsia" w:ascii="宋体" w:hAnsi="宋体" w:eastAsia="宋体"/>
          <w:b/>
          <w:bCs/>
          <w:sz w:val="24"/>
          <w:szCs w:val="24"/>
        </w:rPr>
        <w:t>学位点代码：0835</w:t>
      </w:r>
      <w:r>
        <w:rPr>
          <w:rFonts w:ascii="宋体" w:hAnsi="宋体" w:eastAsia="宋体"/>
          <w:b/>
          <w:bCs/>
          <w:sz w:val="24"/>
          <w:szCs w:val="24"/>
        </w:rPr>
        <w:t xml:space="preserve">                            </w:t>
      </w:r>
      <w:r>
        <w:rPr>
          <w:rFonts w:hint="eastAsia" w:ascii="宋体" w:hAnsi="宋体" w:eastAsia="宋体"/>
          <w:b/>
          <w:bCs/>
          <w:sz w:val="24"/>
          <w:szCs w:val="24"/>
        </w:rPr>
        <w:t>学位点名称：软件工程</w:t>
      </w:r>
    </w:p>
    <w:tbl>
      <w:tblPr>
        <w:tblStyle w:val="5"/>
        <w:tblW w:w="144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32"/>
        <w:gridCol w:w="3978"/>
        <w:gridCol w:w="3095"/>
        <w:gridCol w:w="3095"/>
        <w:gridCol w:w="1000"/>
        <w:gridCol w:w="28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1" w:hRule="atLeast"/>
          <w:jc w:val="center"/>
        </w:trPr>
        <w:tc>
          <w:tcPr>
            <w:tcW w:w="4410" w:type="dxa"/>
            <w:gridSpan w:val="2"/>
            <w:vAlign w:val="center"/>
          </w:tcPr>
          <w:p>
            <w:pPr>
              <w:jc w:val="center"/>
              <w:rPr>
                <w:rFonts w:ascii="宋体" w:hAnsi="宋体" w:eastAsia="宋体"/>
                <w:b/>
                <w:bCs/>
                <w:sz w:val="21"/>
                <w:szCs w:val="21"/>
              </w:rPr>
            </w:pPr>
            <w:r>
              <w:rPr>
                <w:rFonts w:ascii="宋体" w:hAnsi="宋体" w:eastAsia="宋体"/>
                <w:b/>
                <w:bCs/>
                <w:sz w:val="21"/>
                <w:szCs w:val="21"/>
              </w:rPr>
              <w:t>申请基本条件</w:t>
            </w:r>
          </w:p>
        </w:tc>
        <w:tc>
          <w:tcPr>
            <w:tcW w:w="3095" w:type="dxa"/>
            <w:vAlign w:val="center"/>
          </w:tcPr>
          <w:p>
            <w:pPr>
              <w:jc w:val="center"/>
              <w:rPr>
                <w:rFonts w:hint="eastAsia" w:ascii="宋体" w:hAnsi="宋体" w:eastAsia="宋体" w:cs="Times New Roman"/>
                <w:b/>
                <w:bCs/>
                <w:sz w:val="21"/>
                <w:szCs w:val="21"/>
                <w:lang w:val="en-US" w:eastAsia="zh-CN" w:bidi="ar-SA"/>
              </w:rPr>
            </w:pPr>
            <w:r>
              <w:rPr>
                <w:rFonts w:hint="eastAsia" w:ascii="宋体" w:hAnsi="宋体" w:eastAsia="宋体"/>
                <w:b/>
                <w:bCs/>
                <w:sz w:val="21"/>
                <w:szCs w:val="21"/>
                <w:lang w:val="en-US" w:eastAsia="zh-CN"/>
              </w:rPr>
              <w:t>2022年1至6月建设成果（逐项列举）</w:t>
            </w:r>
          </w:p>
        </w:tc>
        <w:tc>
          <w:tcPr>
            <w:tcW w:w="3095" w:type="dxa"/>
            <w:vAlign w:val="center"/>
          </w:tcPr>
          <w:p>
            <w:pPr>
              <w:jc w:val="center"/>
              <w:rPr>
                <w:rFonts w:ascii="宋体" w:hAnsi="宋体" w:eastAsia="宋体" w:cs="Times New Roman"/>
                <w:b/>
                <w:bCs/>
                <w:sz w:val="21"/>
                <w:szCs w:val="21"/>
                <w:lang w:val="en-US" w:eastAsia="zh-CN" w:bidi="ar-SA"/>
              </w:rPr>
            </w:pPr>
            <w:r>
              <w:rPr>
                <w:rFonts w:hint="eastAsia" w:ascii="宋体" w:hAnsi="宋体" w:eastAsia="宋体"/>
                <w:b/>
                <w:bCs/>
                <w:sz w:val="21"/>
                <w:szCs w:val="21"/>
              </w:rPr>
              <w:t>学科现状</w:t>
            </w:r>
            <w:r>
              <w:rPr>
                <w:rFonts w:hint="eastAsia" w:ascii="宋体" w:hAnsi="宋体" w:eastAsia="宋体"/>
                <w:b/>
                <w:bCs/>
                <w:sz w:val="21"/>
                <w:szCs w:val="21"/>
                <w:lang w:val="en-US" w:eastAsia="zh-CN"/>
              </w:rPr>
              <w:t>及差距</w:t>
            </w:r>
            <w:bookmarkStart w:id="0" w:name="_GoBack"/>
            <w:bookmarkEnd w:id="0"/>
            <w:r>
              <w:rPr>
                <w:rFonts w:hint="eastAsia" w:ascii="宋体" w:hAnsi="宋体" w:eastAsia="宋体"/>
                <w:b/>
                <w:bCs/>
                <w:sz w:val="21"/>
                <w:szCs w:val="21"/>
              </w:rPr>
              <w:t>（根据申请基本条件，逐项描述达标情况）</w:t>
            </w:r>
          </w:p>
        </w:tc>
        <w:tc>
          <w:tcPr>
            <w:tcW w:w="1000" w:type="dxa"/>
            <w:vAlign w:val="center"/>
          </w:tcPr>
          <w:p>
            <w:pPr>
              <w:jc w:val="center"/>
              <w:rPr>
                <w:rFonts w:ascii="宋体" w:hAnsi="宋体" w:eastAsia="宋体"/>
                <w:b/>
                <w:bCs/>
                <w:sz w:val="21"/>
                <w:szCs w:val="21"/>
              </w:rPr>
            </w:pPr>
            <w:r>
              <w:rPr>
                <w:rFonts w:hint="eastAsia" w:ascii="宋体" w:hAnsi="宋体" w:eastAsia="宋体"/>
                <w:b/>
                <w:bCs/>
                <w:sz w:val="21"/>
                <w:szCs w:val="21"/>
              </w:rPr>
              <w:t>自审是否达标 （√）</w:t>
            </w:r>
          </w:p>
        </w:tc>
        <w:tc>
          <w:tcPr>
            <w:tcW w:w="2869" w:type="dxa"/>
            <w:vAlign w:val="center"/>
          </w:tcPr>
          <w:p>
            <w:pPr>
              <w:jc w:val="center"/>
              <w:rPr>
                <w:rFonts w:hint="eastAsia" w:ascii="宋体" w:hAnsi="宋体" w:eastAsia="宋体"/>
                <w:b/>
                <w:bCs/>
                <w:sz w:val="21"/>
                <w:szCs w:val="21"/>
              </w:rPr>
            </w:pPr>
            <w:r>
              <w:rPr>
                <w:rFonts w:hint="eastAsia" w:ascii="宋体" w:hAnsi="宋体" w:eastAsia="宋体"/>
                <w:b/>
                <w:bCs/>
                <w:sz w:val="21"/>
                <w:szCs w:val="21"/>
              </w:rPr>
              <w:t>拟采取措施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vMerge w:val="restart"/>
          </w:tcPr>
          <w:p>
            <w:pPr>
              <w:rPr>
                <w:rFonts w:ascii="宋体" w:hAnsi="宋体" w:eastAsia="宋体"/>
                <w:b/>
                <w:bCs/>
                <w:sz w:val="21"/>
                <w:szCs w:val="21"/>
              </w:rPr>
            </w:pPr>
            <w:r>
              <w:rPr>
                <w:rFonts w:ascii="宋体" w:hAnsi="宋体" w:eastAsia="宋体"/>
                <w:b/>
                <w:bCs/>
                <w:sz w:val="21"/>
                <w:szCs w:val="21"/>
              </w:rPr>
              <w:t>1.学科方向与特色</w:t>
            </w:r>
          </w:p>
        </w:tc>
        <w:tc>
          <w:tcPr>
            <w:tcW w:w="3978" w:type="dxa"/>
          </w:tcPr>
          <w:p>
            <w:pPr>
              <w:rPr>
                <w:rFonts w:ascii="宋体" w:hAnsi="宋体" w:eastAsia="宋体"/>
                <w:b/>
                <w:bCs/>
                <w:sz w:val="21"/>
                <w:szCs w:val="21"/>
              </w:rPr>
            </w:pPr>
            <w:r>
              <w:rPr>
                <w:rFonts w:ascii="宋体" w:hAnsi="宋体" w:eastAsia="宋体"/>
                <w:b/>
                <w:bCs/>
                <w:sz w:val="21"/>
                <w:szCs w:val="21"/>
              </w:rPr>
              <w:t>1.1学科方向</w:t>
            </w:r>
          </w:p>
          <w:p>
            <w:pPr>
              <w:rPr>
                <w:rFonts w:ascii="宋体" w:hAnsi="宋体" w:eastAsia="宋体"/>
                <w:sz w:val="21"/>
                <w:szCs w:val="21"/>
              </w:rPr>
            </w:pPr>
            <w:r>
              <w:rPr>
                <w:rFonts w:hint="eastAsia" w:ascii="宋体" w:hAnsi="宋体" w:eastAsia="宋体"/>
                <w:sz w:val="21"/>
                <w:szCs w:val="21"/>
              </w:rPr>
              <w:t>应至少具有 3 个稳定的主干学科方向，且具有 1 个反映申请单位特色的学科方向。主干学科介绍见《学位授予和人才培养一级学科简介》。</w:t>
            </w:r>
          </w:p>
        </w:tc>
        <w:tc>
          <w:tcPr>
            <w:tcW w:w="3095" w:type="dxa"/>
          </w:tcPr>
          <w:p>
            <w:pPr>
              <w:ind w:left="100"/>
              <w:jc w:val="both"/>
              <w:rPr>
                <w:rFonts w:ascii="宋体" w:hAnsi="宋体" w:eastAsia="宋体"/>
                <w:b/>
                <w:bCs/>
                <w:w w:val="98"/>
                <w:sz w:val="21"/>
                <w:szCs w:val="21"/>
              </w:rPr>
            </w:pPr>
          </w:p>
        </w:tc>
        <w:tc>
          <w:tcPr>
            <w:tcW w:w="3095" w:type="dxa"/>
          </w:tcPr>
          <w:p>
            <w:pPr>
              <w:ind w:left="100"/>
              <w:jc w:val="both"/>
              <w:rPr>
                <w:rFonts w:ascii="宋体" w:hAnsi="宋体" w:eastAsia="宋体"/>
                <w:b/>
                <w:bCs/>
                <w:w w:val="98"/>
                <w:sz w:val="21"/>
                <w:szCs w:val="21"/>
              </w:rPr>
            </w:pPr>
          </w:p>
        </w:tc>
        <w:tc>
          <w:tcPr>
            <w:tcW w:w="1000"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2869" w:type="dxa"/>
          </w:tcPr>
          <w:p>
            <w:pPr>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vMerge w:val="continue"/>
            <w:vAlign w:val="center"/>
          </w:tcPr>
          <w:p>
            <w:pPr>
              <w:rPr>
                <w:rFonts w:ascii="宋体" w:hAnsi="宋体" w:eastAsia="宋体"/>
                <w:b/>
                <w:bCs/>
                <w:sz w:val="21"/>
                <w:szCs w:val="21"/>
              </w:rPr>
            </w:pPr>
          </w:p>
        </w:tc>
        <w:tc>
          <w:tcPr>
            <w:tcW w:w="3978" w:type="dxa"/>
          </w:tcPr>
          <w:p>
            <w:pPr>
              <w:rPr>
                <w:rFonts w:ascii="宋体" w:hAnsi="宋体" w:eastAsia="宋体"/>
                <w:b/>
                <w:bCs/>
                <w:sz w:val="21"/>
                <w:szCs w:val="21"/>
              </w:rPr>
            </w:pPr>
            <w:r>
              <w:rPr>
                <w:rFonts w:ascii="宋体" w:hAnsi="宋体" w:eastAsia="宋体"/>
                <w:b/>
                <w:bCs/>
                <w:sz w:val="21"/>
                <w:szCs w:val="21"/>
              </w:rPr>
              <w:t>1.2学科特色</w:t>
            </w:r>
          </w:p>
          <w:p>
            <w:pPr>
              <w:rPr>
                <w:rFonts w:ascii="宋体" w:hAnsi="宋体" w:eastAsia="宋体"/>
                <w:sz w:val="21"/>
                <w:szCs w:val="21"/>
              </w:rPr>
            </w:pPr>
            <w:r>
              <w:rPr>
                <w:rFonts w:hint="eastAsia" w:ascii="宋体" w:hAnsi="宋体" w:eastAsia="宋体"/>
                <w:sz w:val="21"/>
                <w:szCs w:val="21"/>
              </w:rPr>
              <w:t>申请单位在本学科具有一定的学科特色，对服务国家、区域经济社会发展  具有重要作用，已产生一定的影响。</w:t>
            </w:r>
          </w:p>
        </w:tc>
        <w:tc>
          <w:tcPr>
            <w:tcW w:w="3095" w:type="dxa"/>
          </w:tcPr>
          <w:p>
            <w:pPr>
              <w:ind w:left="100"/>
              <w:jc w:val="both"/>
              <w:rPr>
                <w:rFonts w:ascii="宋体" w:hAnsi="宋体" w:eastAsia="宋体"/>
                <w:b/>
                <w:bCs/>
                <w:w w:val="98"/>
                <w:sz w:val="21"/>
                <w:szCs w:val="21"/>
              </w:rPr>
            </w:pPr>
          </w:p>
        </w:tc>
        <w:tc>
          <w:tcPr>
            <w:tcW w:w="3095" w:type="dxa"/>
          </w:tcPr>
          <w:p>
            <w:pPr>
              <w:ind w:left="100"/>
              <w:jc w:val="both"/>
              <w:rPr>
                <w:rFonts w:ascii="宋体" w:hAnsi="宋体" w:eastAsia="宋体"/>
                <w:b/>
                <w:bCs/>
                <w:w w:val="98"/>
                <w:sz w:val="21"/>
                <w:szCs w:val="21"/>
              </w:rPr>
            </w:pPr>
          </w:p>
        </w:tc>
        <w:tc>
          <w:tcPr>
            <w:tcW w:w="1000"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2869" w:type="dxa"/>
          </w:tcPr>
          <w:p>
            <w:pPr>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vMerge w:val="restart"/>
          </w:tcPr>
          <w:p>
            <w:pPr>
              <w:rPr>
                <w:rFonts w:ascii="宋体" w:hAnsi="宋体" w:eastAsia="宋体"/>
                <w:b/>
                <w:bCs/>
                <w:sz w:val="21"/>
                <w:szCs w:val="21"/>
              </w:rPr>
            </w:pPr>
            <w:r>
              <w:rPr>
                <w:rFonts w:ascii="宋体" w:hAnsi="宋体" w:eastAsia="宋体"/>
                <w:b/>
                <w:bCs/>
                <w:sz w:val="21"/>
                <w:szCs w:val="21"/>
              </w:rPr>
              <w:t>2.学科队伍</w:t>
            </w:r>
          </w:p>
        </w:tc>
        <w:tc>
          <w:tcPr>
            <w:tcW w:w="3978" w:type="dxa"/>
          </w:tcPr>
          <w:p>
            <w:pPr>
              <w:rPr>
                <w:rFonts w:ascii="宋体" w:hAnsi="宋体" w:eastAsia="宋体"/>
                <w:b/>
                <w:bCs/>
                <w:sz w:val="21"/>
                <w:szCs w:val="21"/>
              </w:rPr>
            </w:pPr>
            <w:r>
              <w:rPr>
                <w:rFonts w:ascii="宋体" w:hAnsi="宋体" w:eastAsia="宋体"/>
                <w:b/>
                <w:bCs/>
                <w:sz w:val="21"/>
                <w:szCs w:val="21"/>
              </w:rPr>
              <w:t>2.3人员规模</w:t>
            </w:r>
          </w:p>
          <w:p>
            <w:pPr>
              <w:rPr>
                <w:rFonts w:ascii="宋体" w:hAnsi="宋体" w:eastAsia="宋体"/>
                <w:sz w:val="21"/>
                <w:szCs w:val="21"/>
              </w:rPr>
            </w:pPr>
            <w:r>
              <w:rPr>
                <w:rFonts w:hint="eastAsia" w:ascii="宋体" w:hAnsi="宋体" w:eastAsia="宋体"/>
                <w:sz w:val="21"/>
                <w:szCs w:val="21"/>
              </w:rPr>
              <w:t>专任教师不少于 20 名，其中具有教授职称（或相当专业技术职务）人员不少于 5 名，每个学科方向的专任教师不少于 4 名。</w:t>
            </w:r>
          </w:p>
        </w:tc>
        <w:tc>
          <w:tcPr>
            <w:tcW w:w="3095" w:type="dxa"/>
          </w:tcPr>
          <w:p>
            <w:pPr>
              <w:ind w:left="100"/>
              <w:jc w:val="both"/>
              <w:rPr>
                <w:rFonts w:ascii="宋体" w:hAnsi="宋体" w:eastAsia="宋体"/>
                <w:b/>
                <w:bCs/>
                <w:w w:val="98"/>
                <w:sz w:val="21"/>
                <w:szCs w:val="21"/>
              </w:rPr>
            </w:pPr>
          </w:p>
        </w:tc>
        <w:tc>
          <w:tcPr>
            <w:tcW w:w="3095" w:type="dxa"/>
          </w:tcPr>
          <w:p>
            <w:pPr>
              <w:ind w:left="100"/>
              <w:jc w:val="both"/>
              <w:rPr>
                <w:rFonts w:ascii="宋体" w:hAnsi="宋体" w:eastAsia="宋体"/>
                <w:b/>
                <w:bCs/>
                <w:w w:val="98"/>
                <w:sz w:val="21"/>
                <w:szCs w:val="21"/>
              </w:rPr>
            </w:pPr>
          </w:p>
        </w:tc>
        <w:tc>
          <w:tcPr>
            <w:tcW w:w="1000"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2869" w:type="dxa"/>
          </w:tcPr>
          <w:p>
            <w:pPr>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32" w:type="dxa"/>
            <w:vMerge w:val="continue"/>
          </w:tcPr>
          <w:p>
            <w:pPr>
              <w:rPr>
                <w:rFonts w:ascii="宋体" w:hAnsi="宋体" w:eastAsia="宋体"/>
                <w:b/>
                <w:bCs/>
                <w:sz w:val="21"/>
                <w:szCs w:val="21"/>
              </w:rPr>
            </w:pPr>
          </w:p>
        </w:tc>
        <w:tc>
          <w:tcPr>
            <w:tcW w:w="3978" w:type="dxa"/>
          </w:tcPr>
          <w:p>
            <w:pPr>
              <w:rPr>
                <w:rFonts w:ascii="宋体" w:hAnsi="宋体" w:eastAsia="宋体"/>
                <w:b/>
                <w:bCs/>
                <w:sz w:val="21"/>
                <w:szCs w:val="21"/>
              </w:rPr>
            </w:pPr>
            <w:r>
              <w:rPr>
                <w:rFonts w:ascii="宋体" w:hAnsi="宋体" w:eastAsia="宋体"/>
                <w:b/>
                <w:bCs/>
                <w:sz w:val="21"/>
                <w:szCs w:val="21"/>
              </w:rPr>
              <w:t>2.4人员结构</w:t>
            </w:r>
          </w:p>
          <w:p>
            <w:pPr>
              <w:rPr>
                <w:rFonts w:ascii="宋体" w:hAnsi="宋体" w:eastAsia="宋体"/>
                <w:sz w:val="21"/>
                <w:szCs w:val="21"/>
              </w:rPr>
            </w:pPr>
            <w:r>
              <w:rPr>
                <w:rFonts w:hint="eastAsia" w:ascii="宋体" w:hAnsi="宋体" w:eastAsia="宋体"/>
                <w:sz w:val="21"/>
                <w:szCs w:val="21"/>
              </w:rPr>
              <w:t>专任教师年龄结构、学缘结构、学科专长结构等合理。其中，45 岁以下的比例不低于 40%，获得博士学位的比例不低于 50%，50%以上人员的学科专长应与主干学科方向对应。</w:t>
            </w:r>
          </w:p>
        </w:tc>
        <w:tc>
          <w:tcPr>
            <w:tcW w:w="3095" w:type="dxa"/>
          </w:tcPr>
          <w:p>
            <w:pPr>
              <w:ind w:left="100"/>
              <w:jc w:val="both"/>
              <w:rPr>
                <w:rFonts w:ascii="宋体" w:hAnsi="宋体" w:eastAsia="宋体"/>
                <w:b/>
                <w:bCs/>
                <w:w w:val="98"/>
                <w:sz w:val="21"/>
                <w:szCs w:val="21"/>
              </w:rPr>
            </w:pPr>
          </w:p>
        </w:tc>
        <w:tc>
          <w:tcPr>
            <w:tcW w:w="3095" w:type="dxa"/>
          </w:tcPr>
          <w:p>
            <w:pPr>
              <w:ind w:left="100"/>
              <w:jc w:val="both"/>
              <w:rPr>
                <w:rFonts w:ascii="宋体" w:hAnsi="宋体" w:eastAsia="宋体"/>
                <w:b/>
                <w:bCs/>
                <w:w w:val="98"/>
                <w:sz w:val="21"/>
                <w:szCs w:val="21"/>
              </w:rPr>
            </w:pPr>
          </w:p>
        </w:tc>
        <w:tc>
          <w:tcPr>
            <w:tcW w:w="1000"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2869" w:type="dxa"/>
          </w:tcPr>
          <w:p>
            <w:pPr>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32" w:type="dxa"/>
            <w:vMerge w:val="continue"/>
          </w:tcPr>
          <w:p>
            <w:pPr>
              <w:rPr>
                <w:rFonts w:ascii="宋体" w:hAnsi="宋体" w:eastAsia="宋体"/>
                <w:b/>
                <w:bCs/>
                <w:sz w:val="21"/>
                <w:szCs w:val="21"/>
              </w:rPr>
            </w:pPr>
          </w:p>
        </w:tc>
        <w:tc>
          <w:tcPr>
            <w:tcW w:w="3978" w:type="dxa"/>
          </w:tcPr>
          <w:p>
            <w:pPr>
              <w:rPr>
                <w:rFonts w:ascii="宋体" w:hAnsi="宋体" w:eastAsia="宋体"/>
                <w:b/>
                <w:bCs/>
                <w:sz w:val="21"/>
                <w:szCs w:val="21"/>
              </w:rPr>
            </w:pPr>
            <w:r>
              <w:rPr>
                <w:rFonts w:ascii="宋体" w:hAnsi="宋体" w:eastAsia="宋体"/>
                <w:b/>
                <w:bCs/>
                <w:sz w:val="21"/>
                <w:szCs w:val="21"/>
              </w:rPr>
              <w:t>2.5学科带头人与学术骨干</w:t>
            </w:r>
          </w:p>
          <w:p>
            <w:pPr>
              <w:rPr>
                <w:rFonts w:ascii="宋体" w:hAnsi="宋体" w:eastAsia="宋体"/>
                <w:sz w:val="21"/>
                <w:szCs w:val="21"/>
              </w:rPr>
            </w:pPr>
            <w:r>
              <w:rPr>
                <w:rFonts w:hint="eastAsia" w:ascii="宋体" w:hAnsi="宋体" w:eastAsia="宋体"/>
                <w:sz w:val="21"/>
                <w:szCs w:val="21"/>
              </w:rPr>
              <w:t>至少有 3 名学术造诣较深、治学严谨的学科带头人，在同学科或相近学科具有指导或协助指导完整一届硕士研究生的经历；学科带头人近 5 年应在本学科重要学术期刊发表论文 3 篇以上，或者获得省部级及以上科技成果奖（排名前五），或在科技创新与成果转化应用方面取得显著成绩。学术骨干近 5 年在本学科重要学术期刊发表论文 2 篇以上，或者获得省部级及以上科技成果奖或教学成果奖。</w:t>
            </w:r>
          </w:p>
        </w:tc>
        <w:tc>
          <w:tcPr>
            <w:tcW w:w="3095" w:type="dxa"/>
          </w:tcPr>
          <w:p>
            <w:pPr>
              <w:ind w:left="100"/>
              <w:jc w:val="both"/>
              <w:rPr>
                <w:rFonts w:ascii="宋体" w:hAnsi="宋体" w:eastAsia="宋体"/>
                <w:b/>
                <w:bCs/>
                <w:w w:val="98"/>
                <w:sz w:val="21"/>
                <w:szCs w:val="21"/>
              </w:rPr>
            </w:pPr>
          </w:p>
        </w:tc>
        <w:tc>
          <w:tcPr>
            <w:tcW w:w="3095" w:type="dxa"/>
          </w:tcPr>
          <w:p>
            <w:pPr>
              <w:ind w:left="100"/>
              <w:jc w:val="both"/>
              <w:rPr>
                <w:rFonts w:ascii="宋体" w:hAnsi="宋体" w:eastAsia="宋体"/>
                <w:b/>
                <w:bCs/>
                <w:w w:val="98"/>
                <w:sz w:val="21"/>
                <w:szCs w:val="21"/>
              </w:rPr>
            </w:pPr>
          </w:p>
        </w:tc>
        <w:tc>
          <w:tcPr>
            <w:tcW w:w="1000"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2869" w:type="dxa"/>
          </w:tcPr>
          <w:p>
            <w:pPr>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32" w:type="dxa"/>
            <w:vMerge w:val="restart"/>
          </w:tcPr>
          <w:p>
            <w:pPr>
              <w:rPr>
                <w:rFonts w:ascii="宋体" w:hAnsi="宋体" w:eastAsia="宋体"/>
                <w:b/>
                <w:bCs/>
                <w:sz w:val="21"/>
                <w:szCs w:val="21"/>
              </w:rPr>
            </w:pPr>
            <w:r>
              <w:rPr>
                <w:rFonts w:ascii="宋体" w:hAnsi="宋体" w:eastAsia="宋体"/>
                <w:b/>
                <w:bCs/>
                <w:sz w:val="21"/>
                <w:szCs w:val="21"/>
              </w:rPr>
              <w:t>3.人才培养</w:t>
            </w:r>
          </w:p>
        </w:tc>
        <w:tc>
          <w:tcPr>
            <w:tcW w:w="3978" w:type="dxa"/>
          </w:tcPr>
          <w:p>
            <w:pPr>
              <w:rPr>
                <w:rFonts w:ascii="宋体" w:hAnsi="宋体" w:eastAsia="宋体"/>
                <w:b/>
                <w:bCs/>
                <w:sz w:val="21"/>
                <w:szCs w:val="21"/>
              </w:rPr>
            </w:pPr>
            <w:r>
              <w:rPr>
                <w:rFonts w:ascii="宋体" w:hAnsi="宋体" w:eastAsia="宋体"/>
                <w:b/>
                <w:bCs/>
                <w:sz w:val="21"/>
                <w:szCs w:val="21"/>
              </w:rPr>
              <w:t>3.6课程与教学</w:t>
            </w:r>
          </w:p>
          <w:p>
            <w:pPr>
              <w:rPr>
                <w:rFonts w:ascii="宋体" w:hAnsi="宋体" w:eastAsia="宋体"/>
                <w:sz w:val="21"/>
                <w:szCs w:val="21"/>
              </w:rPr>
            </w:pPr>
            <w:r>
              <w:rPr>
                <w:rFonts w:hint="eastAsia" w:ascii="宋体" w:hAnsi="宋体" w:eastAsia="宋体"/>
                <w:sz w:val="21"/>
                <w:szCs w:val="21"/>
              </w:rPr>
              <w:t>能够为硕士研究生培养开设高水平的系列课程，所开设的课程能够支撑本学科的课程体系，并覆盖主要的学科方向。</w:t>
            </w:r>
          </w:p>
        </w:tc>
        <w:tc>
          <w:tcPr>
            <w:tcW w:w="3095" w:type="dxa"/>
          </w:tcPr>
          <w:p>
            <w:pPr>
              <w:ind w:left="100"/>
              <w:jc w:val="both"/>
              <w:rPr>
                <w:rFonts w:ascii="宋体" w:hAnsi="宋体" w:eastAsia="宋体"/>
                <w:b/>
                <w:bCs/>
                <w:w w:val="98"/>
                <w:sz w:val="21"/>
                <w:szCs w:val="21"/>
              </w:rPr>
            </w:pPr>
          </w:p>
        </w:tc>
        <w:tc>
          <w:tcPr>
            <w:tcW w:w="3095" w:type="dxa"/>
          </w:tcPr>
          <w:p>
            <w:pPr>
              <w:ind w:left="100"/>
              <w:jc w:val="both"/>
              <w:rPr>
                <w:rFonts w:ascii="宋体" w:hAnsi="宋体" w:eastAsia="宋体"/>
                <w:b/>
                <w:bCs/>
                <w:w w:val="98"/>
                <w:sz w:val="21"/>
                <w:szCs w:val="21"/>
              </w:rPr>
            </w:pPr>
          </w:p>
        </w:tc>
        <w:tc>
          <w:tcPr>
            <w:tcW w:w="1000"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2869" w:type="dxa"/>
          </w:tcPr>
          <w:p>
            <w:pPr>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vMerge w:val="continue"/>
          </w:tcPr>
          <w:p>
            <w:pPr>
              <w:rPr>
                <w:rFonts w:ascii="宋体" w:hAnsi="宋体" w:eastAsia="宋体"/>
                <w:b/>
                <w:bCs/>
                <w:sz w:val="21"/>
                <w:szCs w:val="21"/>
              </w:rPr>
            </w:pPr>
          </w:p>
        </w:tc>
        <w:tc>
          <w:tcPr>
            <w:tcW w:w="3978" w:type="dxa"/>
          </w:tcPr>
          <w:p>
            <w:pPr>
              <w:rPr>
                <w:rFonts w:ascii="宋体" w:hAnsi="宋体" w:eastAsia="宋体"/>
                <w:b/>
                <w:bCs/>
                <w:sz w:val="21"/>
                <w:szCs w:val="21"/>
              </w:rPr>
            </w:pPr>
            <w:r>
              <w:rPr>
                <w:rFonts w:ascii="宋体" w:hAnsi="宋体" w:eastAsia="宋体"/>
                <w:b/>
                <w:bCs/>
                <w:sz w:val="21"/>
                <w:szCs w:val="21"/>
              </w:rPr>
              <w:t>3.7培养质量</w:t>
            </w:r>
          </w:p>
          <w:p>
            <w:pPr>
              <w:rPr>
                <w:rFonts w:ascii="宋体" w:hAnsi="宋体" w:eastAsia="宋体"/>
                <w:sz w:val="21"/>
                <w:szCs w:val="21"/>
              </w:rPr>
            </w:pPr>
            <w:r>
              <w:rPr>
                <w:rFonts w:hint="eastAsia" w:ascii="宋体" w:hAnsi="宋体" w:eastAsia="宋体"/>
                <w:sz w:val="21"/>
                <w:szCs w:val="21"/>
              </w:rPr>
              <w:t>本科毕业生在软件工程及相关领域取得较好的职业发展，近 5 年在学本科生获得过省部级及以上科技竞赛奖励</w:t>
            </w:r>
            <w:r>
              <w:rPr>
                <w:rFonts w:ascii="宋体" w:hAnsi="宋体" w:eastAsia="宋体"/>
                <w:sz w:val="21"/>
                <w:szCs w:val="21"/>
              </w:rPr>
              <w:t>。</w:t>
            </w:r>
          </w:p>
        </w:tc>
        <w:tc>
          <w:tcPr>
            <w:tcW w:w="3095" w:type="dxa"/>
          </w:tcPr>
          <w:p>
            <w:pPr>
              <w:ind w:left="100"/>
              <w:jc w:val="both"/>
              <w:rPr>
                <w:rFonts w:ascii="宋体" w:hAnsi="宋体" w:eastAsia="宋体"/>
                <w:b/>
                <w:bCs/>
                <w:w w:val="98"/>
                <w:sz w:val="21"/>
                <w:szCs w:val="21"/>
              </w:rPr>
            </w:pPr>
          </w:p>
        </w:tc>
        <w:tc>
          <w:tcPr>
            <w:tcW w:w="3095" w:type="dxa"/>
          </w:tcPr>
          <w:p>
            <w:pPr>
              <w:ind w:left="100"/>
              <w:jc w:val="both"/>
              <w:rPr>
                <w:rFonts w:ascii="宋体" w:hAnsi="宋体" w:eastAsia="宋体"/>
                <w:b/>
                <w:bCs/>
                <w:w w:val="98"/>
                <w:sz w:val="21"/>
                <w:szCs w:val="21"/>
              </w:rPr>
            </w:pPr>
          </w:p>
        </w:tc>
        <w:tc>
          <w:tcPr>
            <w:tcW w:w="1000"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2869" w:type="dxa"/>
          </w:tcPr>
          <w:p>
            <w:pPr>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32" w:type="dxa"/>
            <w:vMerge w:val="restart"/>
          </w:tcPr>
          <w:p>
            <w:pPr>
              <w:rPr>
                <w:rFonts w:ascii="宋体" w:hAnsi="宋体" w:eastAsia="宋体"/>
                <w:b/>
                <w:bCs/>
                <w:sz w:val="21"/>
                <w:szCs w:val="21"/>
              </w:rPr>
            </w:pPr>
            <w:r>
              <w:rPr>
                <w:rFonts w:ascii="宋体" w:hAnsi="宋体" w:eastAsia="宋体"/>
                <w:b/>
                <w:bCs/>
                <w:sz w:val="21"/>
                <w:szCs w:val="21"/>
              </w:rPr>
              <w:t>4.培养环境与条件</w:t>
            </w:r>
          </w:p>
        </w:tc>
        <w:tc>
          <w:tcPr>
            <w:tcW w:w="3978" w:type="dxa"/>
          </w:tcPr>
          <w:p>
            <w:pPr>
              <w:rPr>
                <w:rFonts w:ascii="宋体" w:hAnsi="宋体" w:eastAsia="宋体"/>
                <w:b/>
                <w:bCs/>
                <w:sz w:val="21"/>
                <w:szCs w:val="21"/>
              </w:rPr>
            </w:pPr>
            <w:r>
              <w:rPr>
                <w:rFonts w:ascii="宋体" w:hAnsi="宋体" w:eastAsia="宋体"/>
                <w:b/>
                <w:bCs/>
                <w:sz w:val="21"/>
                <w:szCs w:val="21"/>
              </w:rPr>
              <w:t>4.</w:t>
            </w:r>
            <w:r>
              <w:rPr>
                <w:rFonts w:hint="eastAsia" w:ascii="宋体" w:hAnsi="宋体" w:eastAsia="宋体"/>
                <w:b/>
                <w:bCs/>
                <w:sz w:val="21"/>
                <w:szCs w:val="21"/>
              </w:rPr>
              <w:t>8</w:t>
            </w:r>
            <w:r>
              <w:rPr>
                <w:rFonts w:ascii="宋体" w:hAnsi="宋体" w:eastAsia="宋体"/>
                <w:b/>
                <w:bCs/>
                <w:sz w:val="21"/>
                <w:szCs w:val="21"/>
              </w:rPr>
              <w:t>科学研究</w:t>
            </w:r>
          </w:p>
          <w:p>
            <w:pPr>
              <w:rPr>
                <w:rFonts w:ascii="宋体" w:hAnsi="宋体" w:eastAsia="宋体"/>
                <w:sz w:val="21"/>
                <w:szCs w:val="21"/>
              </w:rPr>
            </w:pPr>
            <w:r>
              <w:rPr>
                <w:rFonts w:hint="eastAsia" w:ascii="宋体" w:hAnsi="宋体" w:eastAsia="宋体"/>
                <w:sz w:val="21"/>
                <w:szCs w:val="21"/>
              </w:rPr>
              <w:t>近 5 年承担省部级及以上纵向科研项目不少于 6 项，科研项目到账经费不少于 600 万元。</w:t>
            </w:r>
          </w:p>
        </w:tc>
        <w:tc>
          <w:tcPr>
            <w:tcW w:w="3095" w:type="dxa"/>
          </w:tcPr>
          <w:p>
            <w:pPr>
              <w:ind w:left="100"/>
              <w:jc w:val="both"/>
              <w:rPr>
                <w:rFonts w:ascii="宋体" w:hAnsi="宋体" w:eastAsia="宋体"/>
                <w:b/>
                <w:bCs/>
                <w:w w:val="98"/>
                <w:sz w:val="21"/>
                <w:szCs w:val="21"/>
              </w:rPr>
            </w:pPr>
          </w:p>
        </w:tc>
        <w:tc>
          <w:tcPr>
            <w:tcW w:w="3095" w:type="dxa"/>
          </w:tcPr>
          <w:p>
            <w:pPr>
              <w:ind w:left="100"/>
              <w:jc w:val="both"/>
              <w:rPr>
                <w:rFonts w:ascii="宋体" w:hAnsi="宋体" w:eastAsia="宋体"/>
                <w:b/>
                <w:bCs/>
                <w:w w:val="98"/>
                <w:sz w:val="21"/>
                <w:szCs w:val="21"/>
              </w:rPr>
            </w:pPr>
          </w:p>
        </w:tc>
        <w:tc>
          <w:tcPr>
            <w:tcW w:w="1000"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2869" w:type="dxa"/>
          </w:tcPr>
          <w:p>
            <w:pPr>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vMerge w:val="continue"/>
          </w:tcPr>
          <w:p>
            <w:pPr>
              <w:rPr>
                <w:rFonts w:ascii="宋体" w:hAnsi="宋体" w:eastAsia="宋体"/>
                <w:sz w:val="21"/>
                <w:szCs w:val="21"/>
              </w:rPr>
            </w:pPr>
          </w:p>
        </w:tc>
        <w:tc>
          <w:tcPr>
            <w:tcW w:w="3978" w:type="dxa"/>
          </w:tcPr>
          <w:p>
            <w:pPr>
              <w:rPr>
                <w:rFonts w:ascii="宋体" w:hAnsi="宋体" w:eastAsia="宋体"/>
                <w:b/>
                <w:bCs/>
                <w:sz w:val="21"/>
                <w:szCs w:val="21"/>
              </w:rPr>
            </w:pPr>
            <w:r>
              <w:rPr>
                <w:rFonts w:ascii="宋体" w:hAnsi="宋体" w:eastAsia="宋体"/>
                <w:b/>
                <w:bCs/>
                <w:sz w:val="21"/>
                <w:szCs w:val="21"/>
              </w:rPr>
              <w:t>4.</w:t>
            </w:r>
            <w:r>
              <w:rPr>
                <w:rFonts w:hint="eastAsia" w:ascii="宋体" w:hAnsi="宋体" w:eastAsia="宋体"/>
                <w:b/>
                <w:bCs/>
                <w:sz w:val="21"/>
                <w:szCs w:val="21"/>
              </w:rPr>
              <w:t>9</w:t>
            </w:r>
            <w:r>
              <w:rPr>
                <w:rFonts w:ascii="宋体" w:hAnsi="宋体" w:eastAsia="宋体"/>
                <w:b/>
                <w:bCs/>
                <w:sz w:val="21"/>
                <w:szCs w:val="21"/>
              </w:rPr>
              <w:t>学术交流</w:t>
            </w:r>
          </w:p>
          <w:p>
            <w:pPr>
              <w:rPr>
                <w:rFonts w:ascii="宋体" w:hAnsi="宋体" w:eastAsia="宋体"/>
                <w:sz w:val="21"/>
                <w:szCs w:val="21"/>
              </w:rPr>
            </w:pPr>
            <w:r>
              <w:rPr>
                <w:rFonts w:hint="eastAsia" w:ascii="宋体" w:hAnsi="宋体" w:eastAsia="宋体"/>
                <w:sz w:val="21"/>
                <w:szCs w:val="21"/>
              </w:rPr>
              <w:t>专任教师近 5 年参加国际及国内重要学术会议不少于 10 人次，本科生有一定比例参加国内外学术交流（含交换生和联合培养）。</w:t>
            </w:r>
          </w:p>
        </w:tc>
        <w:tc>
          <w:tcPr>
            <w:tcW w:w="3095" w:type="dxa"/>
          </w:tcPr>
          <w:p>
            <w:pPr>
              <w:spacing w:line="322" w:lineRule="auto"/>
              <w:rPr>
                <w:rFonts w:ascii="宋体" w:hAnsi="宋体" w:eastAsia="宋体"/>
                <w:b/>
                <w:bCs/>
                <w:sz w:val="21"/>
                <w:szCs w:val="21"/>
              </w:rPr>
            </w:pPr>
          </w:p>
        </w:tc>
        <w:tc>
          <w:tcPr>
            <w:tcW w:w="3095" w:type="dxa"/>
          </w:tcPr>
          <w:p>
            <w:pPr>
              <w:spacing w:line="322" w:lineRule="auto"/>
              <w:rPr>
                <w:rFonts w:ascii="宋体" w:hAnsi="宋体" w:eastAsia="宋体"/>
                <w:b/>
                <w:bCs/>
                <w:sz w:val="21"/>
                <w:szCs w:val="21"/>
              </w:rPr>
            </w:pPr>
          </w:p>
        </w:tc>
        <w:tc>
          <w:tcPr>
            <w:tcW w:w="1000"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spacing w:line="322" w:lineRule="auto"/>
              <w:jc w:val="center"/>
              <w:rPr>
                <w:rFonts w:ascii="宋体" w:hAnsi="宋体" w:eastAsia="宋体"/>
                <w:b/>
                <w:bCs/>
                <w:w w:val="98"/>
                <w:sz w:val="21"/>
                <w:szCs w:val="21"/>
              </w:rPr>
            </w:pPr>
            <w:r>
              <w:rPr>
                <w:rFonts w:hint="eastAsia" w:ascii="宋体" w:hAnsi="宋体" w:eastAsia="宋体"/>
                <w:b/>
                <w:bCs/>
                <w:w w:val="98"/>
                <w:sz w:val="21"/>
                <w:szCs w:val="21"/>
              </w:rPr>
              <w:t>□否</w:t>
            </w:r>
          </w:p>
        </w:tc>
        <w:tc>
          <w:tcPr>
            <w:tcW w:w="2869" w:type="dxa"/>
          </w:tcPr>
          <w:p>
            <w:pPr>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vMerge w:val="continue"/>
          </w:tcPr>
          <w:p>
            <w:pPr>
              <w:rPr>
                <w:rFonts w:ascii="宋体" w:hAnsi="宋体" w:eastAsia="宋体"/>
                <w:sz w:val="21"/>
                <w:szCs w:val="21"/>
              </w:rPr>
            </w:pPr>
          </w:p>
        </w:tc>
        <w:tc>
          <w:tcPr>
            <w:tcW w:w="3978" w:type="dxa"/>
          </w:tcPr>
          <w:p>
            <w:pPr>
              <w:rPr>
                <w:rFonts w:ascii="宋体" w:hAnsi="宋体" w:eastAsia="宋体"/>
                <w:b/>
                <w:bCs/>
                <w:sz w:val="21"/>
                <w:szCs w:val="21"/>
              </w:rPr>
            </w:pPr>
            <w:r>
              <w:rPr>
                <w:rFonts w:ascii="宋体" w:hAnsi="宋体" w:eastAsia="宋体"/>
                <w:b/>
                <w:bCs/>
                <w:sz w:val="21"/>
                <w:szCs w:val="21"/>
              </w:rPr>
              <w:t>4.1</w:t>
            </w:r>
            <w:r>
              <w:rPr>
                <w:rFonts w:hint="eastAsia" w:ascii="宋体" w:hAnsi="宋体" w:eastAsia="宋体"/>
                <w:b/>
                <w:bCs/>
                <w:sz w:val="21"/>
                <w:szCs w:val="21"/>
              </w:rPr>
              <w:t>0</w:t>
            </w:r>
            <w:r>
              <w:rPr>
                <w:rFonts w:ascii="宋体" w:hAnsi="宋体" w:eastAsia="宋体"/>
                <w:b/>
                <w:bCs/>
                <w:sz w:val="21"/>
                <w:szCs w:val="21"/>
              </w:rPr>
              <w:t xml:space="preserve">支撑条件 </w:t>
            </w:r>
          </w:p>
          <w:p>
            <w:pPr>
              <w:rPr>
                <w:rFonts w:ascii="宋体" w:hAnsi="宋体" w:eastAsia="宋体"/>
                <w:sz w:val="21"/>
                <w:szCs w:val="21"/>
              </w:rPr>
            </w:pPr>
            <w:r>
              <w:rPr>
                <w:rFonts w:hint="eastAsia" w:ascii="宋体" w:hAnsi="宋体" w:eastAsia="宋体"/>
                <w:sz w:val="21"/>
                <w:szCs w:val="21"/>
              </w:rPr>
              <w:t>具有比较先进的教学和科研设备及环境，能满足硕士研究生培养需要。已建设省部级及以上重点实验室/工程中心/工程实验室至少 1 个，有较充足的国内外图书资料，其中与本学科相关的国际主流文献资料数据库不少于 1 个。具有健全的研究生培养制度及管理机构，有完善的研究生奖助体系，并基本实现全覆盖。</w:t>
            </w:r>
          </w:p>
        </w:tc>
        <w:tc>
          <w:tcPr>
            <w:tcW w:w="3095" w:type="dxa"/>
          </w:tcPr>
          <w:p>
            <w:pPr>
              <w:spacing w:line="294" w:lineRule="auto"/>
              <w:rPr>
                <w:rFonts w:ascii="宋体" w:hAnsi="宋体" w:eastAsia="宋体"/>
                <w:b/>
                <w:bCs/>
                <w:sz w:val="21"/>
                <w:szCs w:val="21"/>
              </w:rPr>
            </w:pPr>
          </w:p>
        </w:tc>
        <w:tc>
          <w:tcPr>
            <w:tcW w:w="3095" w:type="dxa"/>
          </w:tcPr>
          <w:p>
            <w:pPr>
              <w:spacing w:line="294" w:lineRule="auto"/>
              <w:rPr>
                <w:rFonts w:ascii="宋体" w:hAnsi="宋体" w:eastAsia="宋体"/>
                <w:b/>
                <w:bCs/>
                <w:sz w:val="21"/>
                <w:szCs w:val="21"/>
              </w:rPr>
            </w:pPr>
          </w:p>
        </w:tc>
        <w:tc>
          <w:tcPr>
            <w:tcW w:w="1000"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spacing w:line="294" w:lineRule="auto"/>
              <w:jc w:val="center"/>
              <w:rPr>
                <w:rFonts w:ascii="宋体" w:hAnsi="宋体" w:eastAsia="宋体"/>
                <w:b/>
                <w:bCs/>
                <w:sz w:val="21"/>
                <w:szCs w:val="21"/>
              </w:rPr>
            </w:pPr>
            <w:r>
              <w:rPr>
                <w:rFonts w:hint="eastAsia" w:ascii="宋体" w:hAnsi="宋体" w:eastAsia="宋体"/>
                <w:b/>
                <w:bCs/>
                <w:w w:val="98"/>
                <w:sz w:val="21"/>
                <w:szCs w:val="21"/>
              </w:rPr>
              <w:t>□否</w:t>
            </w:r>
          </w:p>
        </w:tc>
        <w:tc>
          <w:tcPr>
            <w:tcW w:w="2869" w:type="dxa"/>
          </w:tcPr>
          <w:p>
            <w:pPr>
              <w:rPr>
                <w:rFonts w:hint="eastAsia" w:ascii="宋体" w:hAnsi="宋体" w:eastAsia="宋体"/>
                <w:b/>
                <w:bCs/>
                <w:w w:val="98"/>
                <w:sz w:val="21"/>
                <w:szCs w:val="21"/>
              </w:rPr>
            </w:pPr>
          </w:p>
        </w:tc>
      </w:tr>
    </w:tbl>
    <w:p>
      <w:pPr>
        <w:rPr>
          <w:rFonts w:ascii="宋体" w:hAnsi="宋体" w:eastAsia="宋体"/>
        </w:rPr>
      </w:pPr>
    </w:p>
    <w:sectPr>
      <w:footerReference r:id="rId3" w:type="default"/>
      <w:pgSz w:w="16838" w:h="11906" w:orient="landscape"/>
      <w:pgMar w:top="1418" w:right="1134" w:bottom="1418"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56374160"/>
    </w:sdtPr>
    <w:sdtEndPr>
      <w:rPr>
        <w:rFonts w:ascii="Times New Roman" w:hAnsi="Times New Roman" w:cs="Times New Roman"/>
      </w:rPr>
    </w:sdtEndPr>
    <w:sdtContent>
      <w:p>
        <w:pPr>
          <w:pStyle w:val="3"/>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1</w:t>
        </w:r>
        <w:r>
          <w:rPr>
            <w:rFonts w:ascii="Times New Roman" w:hAnsi="Times New Roman" w:cs="Times New Roman"/>
          </w:rP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6"/>
  <w:bordersDoNotSurroundHeader w:val="1"/>
  <w:bordersDoNotSurroundFooter w:val="1"/>
  <w:documentProtection w:enforcement="0"/>
  <w:defaultTabStop w:val="420"/>
  <w:drawingGridHorizontalSpacing w:val="11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dmZDMwZTI3MDg0NGJkNzdiMTg5ZDIxMzk1MDU3ZjIifQ=="/>
  </w:docVars>
  <w:rsids>
    <w:rsidRoot w:val="008D6138"/>
    <w:rsid w:val="0019516D"/>
    <w:rsid w:val="00362B60"/>
    <w:rsid w:val="006D3C32"/>
    <w:rsid w:val="00785FE9"/>
    <w:rsid w:val="00817BE4"/>
    <w:rsid w:val="008656FD"/>
    <w:rsid w:val="008D6138"/>
    <w:rsid w:val="0092156B"/>
    <w:rsid w:val="009B13B9"/>
    <w:rsid w:val="00A57430"/>
    <w:rsid w:val="00AA153D"/>
    <w:rsid w:val="00C20324"/>
    <w:rsid w:val="00D27353"/>
    <w:rsid w:val="00DA1E65"/>
    <w:rsid w:val="00DF2B8A"/>
    <w:rsid w:val="00F363D4"/>
    <w:rsid w:val="15305968"/>
    <w:rsid w:val="189B07C7"/>
    <w:rsid w:val="2EF358E9"/>
    <w:rsid w:val="30984C1E"/>
    <w:rsid w:val="37432A80"/>
    <w:rsid w:val="40C35677"/>
    <w:rsid w:val="673C5247"/>
    <w:rsid w:val="6D327DCF"/>
    <w:rsid w:val="6D624A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2"/>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uiPriority w:val="99"/>
    <w:pPr>
      <w:widowControl w:val="0"/>
      <w:tabs>
        <w:tab w:val="center" w:pos="4153"/>
        <w:tab w:val="right" w:pos="8306"/>
      </w:tabs>
      <w:snapToGrid w:val="0"/>
    </w:pPr>
    <w:rPr>
      <w:rFonts w:asciiTheme="minorHAnsi" w:hAnsiTheme="minorHAnsi" w:cstheme="minorBidi"/>
      <w:kern w:val="2"/>
      <w:sz w:val="18"/>
      <w:szCs w:val="18"/>
    </w:rPr>
  </w:style>
  <w:style w:type="paragraph" w:styleId="4">
    <w:name w:val="header"/>
    <w:basedOn w:val="1"/>
    <w:link w:val="7"/>
    <w:unhideWhenUsed/>
    <w:qFormat/>
    <w:uiPriority w:val="99"/>
    <w:pPr>
      <w:widowControl w:val="0"/>
      <w:pBdr>
        <w:bottom w:val="single" w:color="auto" w:sz="6" w:space="1"/>
      </w:pBdr>
      <w:tabs>
        <w:tab w:val="center" w:pos="4153"/>
        <w:tab w:val="right" w:pos="8306"/>
      </w:tabs>
      <w:snapToGrid w:val="0"/>
      <w:jc w:val="center"/>
    </w:pPr>
    <w:rPr>
      <w:rFonts w:asciiTheme="minorHAnsi" w:hAnsiTheme="minorHAnsi" w:cstheme="minorBidi"/>
      <w:kern w:val="2"/>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uiPriority w:val="99"/>
    <w:rPr>
      <w:sz w:val="18"/>
      <w:szCs w:val="18"/>
    </w:rPr>
  </w:style>
  <w:style w:type="character" w:customStyle="1" w:styleId="9">
    <w:name w:val="批注框文本 字符"/>
    <w:basedOn w:val="6"/>
    <w:link w:val="2"/>
    <w:semiHidden/>
    <w:qFormat/>
    <w:uiPriority w:val="99"/>
    <w:rPr>
      <w:rFonts w:ascii="Times New Roman" w:hAnsi="Times New Roman"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6DFB55-6587-4722-A3BC-FC5BFBE4598B}">
  <ds:schemaRefs/>
</ds:datastoreItem>
</file>

<file path=docProps/app.xml><?xml version="1.0" encoding="utf-8"?>
<Properties xmlns="http://schemas.openxmlformats.org/officeDocument/2006/extended-properties" xmlns:vt="http://schemas.openxmlformats.org/officeDocument/2006/docPropsVTypes">
  <Template>Normal.dotm</Template>
  <Pages>3</Pages>
  <Words>973</Words>
  <Characters>1015</Characters>
  <Lines>8</Lines>
  <Paragraphs>2</Paragraphs>
  <TotalTime>0</TotalTime>
  <ScaleCrop>false</ScaleCrop>
  <LinksUpToDate>false</LinksUpToDate>
  <CharactersWithSpaces>1087</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2020-10-12T12:59:00Z</dcterms:created>
  <dc:creator>温 超东</dc:creator>
  <cp:lastModifiedBy>hbue</cp:lastModifiedBy>
  <dcterms:modified xsi:type="dcterms:W3CDTF">2022-06-21T08:57:57Z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400B065121C2456FA1AF2E16F4AED49F</vt:lpwstr>
  </property>
</Properties>
</file>