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9" w:lineRule="auto"/>
        <w:jc w:val="center"/>
        <w:rPr>
          <w:rFonts w:hint="default" w:ascii="宋体" w:hAnsi="宋体" w:eastAsia="黑体"/>
          <w:b/>
          <w:bCs/>
          <w:sz w:val="44"/>
          <w:szCs w:val="44"/>
          <w:lang w:val="en-US" w:eastAsia="zh-CN"/>
        </w:rPr>
      </w:pPr>
      <w:r>
        <w:rPr>
          <w:rFonts w:hint="eastAsia" w:ascii="黑体" w:hAnsi="黑体" w:eastAsia="黑体" w:cs="黑体"/>
          <w:b/>
          <w:bCs/>
          <w:sz w:val="32"/>
          <w:szCs w:val="32"/>
        </w:rPr>
        <w:t>申请新增新闻与传播硕士专业学位授权点基本条件</w:t>
      </w:r>
      <w:r>
        <w:rPr>
          <w:rFonts w:hint="eastAsia" w:ascii="黑体" w:hAnsi="黑体" w:eastAsia="黑体" w:cs="黑体"/>
          <w:b/>
          <w:bCs/>
          <w:sz w:val="32"/>
          <w:szCs w:val="32"/>
          <w:lang w:val="en-US" w:eastAsia="zh-CN"/>
        </w:rPr>
        <w:t>建设清单</w:t>
      </w:r>
    </w:p>
    <w:p>
      <w:pPr>
        <w:spacing w:line="329" w:lineRule="auto"/>
        <w:ind w:firstLine="482" w:firstLineChars="200"/>
        <w:rPr>
          <w:rFonts w:ascii="宋体" w:hAnsi="宋体" w:eastAsia="宋体"/>
          <w:b/>
          <w:bCs/>
          <w:sz w:val="24"/>
          <w:szCs w:val="24"/>
        </w:rPr>
      </w:pPr>
      <w:r>
        <w:rPr>
          <w:rFonts w:hint="eastAsia" w:ascii="宋体" w:hAnsi="宋体" w:eastAsia="宋体"/>
          <w:b/>
          <w:bCs/>
          <w:sz w:val="24"/>
          <w:szCs w:val="24"/>
        </w:rPr>
        <w:t>学位点代码：0552</w:t>
      </w:r>
      <w:r>
        <w:rPr>
          <w:rFonts w:ascii="宋体" w:hAnsi="宋体" w:eastAsia="宋体"/>
          <w:b/>
          <w:bCs/>
          <w:sz w:val="24"/>
          <w:szCs w:val="24"/>
        </w:rPr>
        <w:t xml:space="preserve">                            </w:t>
      </w:r>
      <w:r>
        <w:rPr>
          <w:rFonts w:hint="eastAsia" w:ascii="宋体" w:hAnsi="宋体" w:eastAsia="宋体"/>
          <w:b/>
          <w:bCs/>
          <w:sz w:val="24"/>
          <w:szCs w:val="24"/>
        </w:rPr>
        <w:t>学位点名称：新闻与传播</w:t>
      </w:r>
    </w:p>
    <w:tbl>
      <w:tblPr>
        <w:tblStyle w:val="5"/>
        <w:tblW w:w="14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32"/>
        <w:gridCol w:w="3299"/>
        <w:gridCol w:w="3298"/>
        <w:gridCol w:w="3298"/>
        <w:gridCol w:w="1047"/>
        <w:gridCol w:w="2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1" w:hRule="atLeast"/>
          <w:jc w:val="center"/>
        </w:trPr>
        <w:tc>
          <w:tcPr>
            <w:tcW w:w="3731" w:type="dxa"/>
            <w:gridSpan w:val="2"/>
            <w:vAlign w:val="center"/>
          </w:tcPr>
          <w:p>
            <w:pPr>
              <w:jc w:val="center"/>
              <w:rPr>
                <w:rFonts w:ascii="宋体" w:hAnsi="宋体" w:eastAsia="宋体"/>
                <w:b/>
                <w:bCs/>
                <w:sz w:val="21"/>
                <w:szCs w:val="21"/>
              </w:rPr>
            </w:pPr>
            <w:r>
              <w:rPr>
                <w:rFonts w:ascii="宋体" w:hAnsi="宋体" w:eastAsia="宋体"/>
                <w:b/>
                <w:bCs/>
                <w:sz w:val="21"/>
                <w:szCs w:val="21"/>
              </w:rPr>
              <w:t>申请基本条件</w:t>
            </w:r>
          </w:p>
        </w:tc>
        <w:tc>
          <w:tcPr>
            <w:tcW w:w="3298" w:type="dxa"/>
            <w:vAlign w:val="center"/>
          </w:tcPr>
          <w:p>
            <w:pPr>
              <w:jc w:val="center"/>
              <w:rPr>
                <w:rFonts w:hint="eastAsia" w:ascii="宋体" w:hAnsi="宋体" w:eastAsia="宋体" w:cs="Times New Roman"/>
                <w:b/>
                <w:bCs/>
                <w:sz w:val="21"/>
                <w:szCs w:val="21"/>
                <w:lang w:val="en-US" w:eastAsia="zh-CN" w:bidi="ar-SA"/>
              </w:rPr>
            </w:pPr>
            <w:r>
              <w:rPr>
                <w:rFonts w:hint="eastAsia" w:ascii="宋体" w:hAnsi="宋体" w:eastAsia="宋体"/>
                <w:b/>
                <w:bCs/>
                <w:sz w:val="21"/>
                <w:szCs w:val="21"/>
                <w:lang w:val="en-US" w:eastAsia="zh-CN"/>
              </w:rPr>
              <w:t>2022年1至6月建设成果（逐项列举）</w:t>
            </w:r>
          </w:p>
        </w:tc>
        <w:tc>
          <w:tcPr>
            <w:tcW w:w="3298" w:type="dxa"/>
            <w:vAlign w:val="center"/>
          </w:tcPr>
          <w:p>
            <w:pPr>
              <w:jc w:val="center"/>
              <w:rPr>
                <w:rFonts w:ascii="宋体" w:hAnsi="宋体" w:eastAsia="宋体" w:cs="Times New Roman"/>
                <w:b/>
                <w:bCs/>
                <w:sz w:val="21"/>
                <w:szCs w:val="21"/>
                <w:lang w:val="en-US" w:eastAsia="zh-CN" w:bidi="ar-SA"/>
              </w:rPr>
            </w:pPr>
            <w:r>
              <w:rPr>
                <w:rFonts w:hint="eastAsia" w:ascii="宋体" w:hAnsi="宋体" w:eastAsia="宋体"/>
                <w:b/>
                <w:bCs/>
                <w:sz w:val="21"/>
                <w:szCs w:val="21"/>
              </w:rPr>
              <w:t>学科现状</w:t>
            </w:r>
            <w:r>
              <w:rPr>
                <w:rFonts w:hint="eastAsia" w:ascii="宋体" w:hAnsi="宋体" w:eastAsia="宋体"/>
                <w:b/>
                <w:bCs/>
                <w:sz w:val="21"/>
                <w:szCs w:val="21"/>
                <w:lang w:val="en-US" w:eastAsia="zh-CN"/>
              </w:rPr>
              <w:t>及差距</w:t>
            </w:r>
            <w:bookmarkStart w:id="0" w:name="_GoBack"/>
            <w:bookmarkEnd w:id="0"/>
            <w:r>
              <w:rPr>
                <w:rFonts w:hint="eastAsia" w:ascii="宋体" w:hAnsi="宋体" w:eastAsia="宋体"/>
                <w:b/>
                <w:bCs/>
                <w:sz w:val="21"/>
                <w:szCs w:val="21"/>
              </w:rPr>
              <w:t>（根据申请基本条件，逐项描述达标情况）</w:t>
            </w:r>
          </w:p>
        </w:tc>
        <w:tc>
          <w:tcPr>
            <w:tcW w:w="1047" w:type="dxa"/>
            <w:vAlign w:val="center"/>
          </w:tcPr>
          <w:p>
            <w:pPr>
              <w:jc w:val="center"/>
              <w:rPr>
                <w:rFonts w:ascii="宋体" w:hAnsi="宋体" w:eastAsia="宋体"/>
                <w:b/>
                <w:bCs/>
                <w:sz w:val="21"/>
                <w:szCs w:val="21"/>
              </w:rPr>
            </w:pPr>
            <w:r>
              <w:rPr>
                <w:rFonts w:hint="eastAsia" w:ascii="宋体" w:hAnsi="宋体" w:eastAsia="宋体"/>
                <w:b/>
                <w:bCs/>
                <w:sz w:val="21"/>
                <w:szCs w:val="21"/>
              </w:rPr>
              <w:t>自审是否达标 （√）</w:t>
            </w:r>
          </w:p>
        </w:tc>
        <w:tc>
          <w:tcPr>
            <w:tcW w:w="2917" w:type="dxa"/>
            <w:vAlign w:val="center"/>
          </w:tcPr>
          <w:p>
            <w:pPr>
              <w:jc w:val="center"/>
              <w:rPr>
                <w:rFonts w:hint="eastAsia" w:ascii="宋体" w:hAnsi="宋体" w:eastAsia="宋体"/>
                <w:b/>
                <w:bCs/>
                <w:sz w:val="21"/>
                <w:szCs w:val="21"/>
              </w:rPr>
            </w:pPr>
            <w:r>
              <w:rPr>
                <w:rFonts w:hint="eastAsia" w:ascii="宋体" w:hAnsi="宋体" w:eastAsia="宋体"/>
                <w:b/>
                <w:bCs/>
                <w:sz w:val="21"/>
                <w:szCs w:val="21"/>
              </w:rPr>
              <w:t>拟采取措施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2" w:type="dxa"/>
          </w:tcPr>
          <w:p>
            <w:pPr>
              <w:rPr>
                <w:rFonts w:ascii="宋体" w:hAnsi="宋体" w:eastAsia="宋体"/>
                <w:b/>
                <w:bCs/>
                <w:sz w:val="21"/>
                <w:szCs w:val="21"/>
              </w:rPr>
            </w:pPr>
            <w:r>
              <w:rPr>
                <w:rFonts w:ascii="宋体" w:hAnsi="宋体" w:eastAsia="宋体"/>
                <w:b/>
                <w:bCs/>
                <w:sz w:val="21"/>
                <w:szCs w:val="21"/>
              </w:rPr>
              <w:t>1.</w:t>
            </w:r>
            <w:r>
              <w:rPr>
                <w:rFonts w:hint="eastAsia" w:ascii="宋体" w:hAnsi="宋体" w:eastAsia="宋体"/>
                <w:b/>
                <w:bCs/>
                <w:sz w:val="21"/>
                <w:szCs w:val="21"/>
              </w:rPr>
              <w:t>专业特色</w:t>
            </w:r>
          </w:p>
        </w:tc>
        <w:tc>
          <w:tcPr>
            <w:tcW w:w="3299" w:type="dxa"/>
          </w:tcPr>
          <w:p>
            <w:pPr>
              <w:rPr>
                <w:rFonts w:ascii="宋体" w:hAnsi="宋体" w:eastAsia="宋体"/>
                <w:b/>
                <w:bCs/>
                <w:sz w:val="21"/>
                <w:szCs w:val="21"/>
              </w:rPr>
            </w:pPr>
            <w:r>
              <w:rPr>
                <w:rFonts w:ascii="宋体" w:hAnsi="宋体" w:eastAsia="宋体"/>
                <w:b/>
                <w:bCs/>
                <w:sz w:val="21"/>
                <w:szCs w:val="21"/>
              </w:rPr>
              <w:t>1.1</w:t>
            </w:r>
            <w:r>
              <w:rPr>
                <w:rFonts w:hint="eastAsia" w:ascii="宋体" w:hAnsi="宋体" w:eastAsia="宋体"/>
                <w:b/>
                <w:bCs/>
                <w:sz w:val="21"/>
                <w:szCs w:val="21"/>
              </w:rPr>
              <w:t>专业特色</w:t>
            </w:r>
          </w:p>
          <w:p>
            <w:pPr>
              <w:rPr>
                <w:rFonts w:ascii="宋体" w:hAnsi="宋体" w:eastAsia="宋体"/>
                <w:sz w:val="21"/>
                <w:szCs w:val="21"/>
              </w:rPr>
            </w:pPr>
            <w:r>
              <w:rPr>
                <w:rFonts w:ascii="宋体" w:hAnsi="宋体" w:eastAsia="宋体"/>
                <w:sz w:val="21"/>
                <w:szCs w:val="21"/>
              </w:rPr>
              <w:t>注重创新能力和实践能力，突出办学特色，并有结合地区特色的专业方向设置。有与新闻传播行业相关企业和机构具有长期合作的有效机制和措施，积极引导相关单位参与培养全过程。</w:t>
            </w:r>
          </w:p>
        </w:tc>
        <w:tc>
          <w:tcPr>
            <w:tcW w:w="3298" w:type="dxa"/>
          </w:tcPr>
          <w:p>
            <w:pPr>
              <w:ind w:left="100"/>
              <w:jc w:val="both"/>
              <w:rPr>
                <w:rFonts w:ascii="宋体" w:hAnsi="宋体" w:eastAsia="宋体"/>
                <w:b/>
                <w:bCs/>
                <w:w w:val="98"/>
                <w:sz w:val="21"/>
                <w:szCs w:val="21"/>
              </w:rPr>
            </w:pPr>
          </w:p>
        </w:tc>
        <w:tc>
          <w:tcPr>
            <w:tcW w:w="3298" w:type="dxa"/>
          </w:tcPr>
          <w:p>
            <w:pPr>
              <w:ind w:left="100"/>
              <w:jc w:val="both"/>
              <w:rPr>
                <w:rFonts w:ascii="宋体" w:hAnsi="宋体" w:eastAsia="宋体"/>
                <w:b/>
                <w:bCs/>
                <w:w w:val="98"/>
                <w:sz w:val="21"/>
                <w:szCs w:val="21"/>
              </w:rPr>
            </w:pPr>
          </w:p>
        </w:tc>
        <w:tc>
          <w:tcPr>
            <w:tcW w:w="1047"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91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师资队伍</w:t>
            </w:r>
          </w:p>
        </w:tc>
        <w:tc>
          <w:tcPr>
            <w:tcW w:w="3299" w:type="dxa"/>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2</w:t>
            </w:r>
            <w:r>
              <w:rPr>
                <w:rFonts w:ascii="宋体" w:hAnsi="宋体" w:eastAsia="宋体"/>
                <w:b/>
                <w:bCs/>
                <w:sz w:val="21"/>
                <w:szCs w:val="21"/>
              </w:rPr>
              <w:t>人员规模</w:t>
            </w:r>
          </w:p>
          <w:p>
            <w:pPr>
              <w:rPr>
                <w:rFonts w:ascii="宋体" w:hAnsi="宋体" w:eastAsia="宋体"/>
                <w:sz w:val="21"/>
                <w:szCs w:val="21"/>
              </w:rPr>
            </w:pPr>
            <w:r>
              <w:rPr>
                <w:rFonts w:ascii="宋体" w:hAnsi="宋体" w:eastAsia="宋体"/>
                <w:sz w:val="21"/>
                <w:szCs w:val="21"/>
              </w:rPr>
              <w:t>专兼职师资队伍学科知识结构合理，具有丰富教学经验并能切实保证新闻与传播专业硕士学位研究生培养质量。专任教师不少于 20 人，来自新闻与传播行业相关部门具有丰富经验的兼职指导教师不少于 10 人，落实双导师制度。</w:t>
            </w:r>
          </w:p>
        </w:tc>
        <w:tc>
          <w:tcPr>
            <w:tcW w:w="3298" w:type="dxa"/>
          </w:tcPr>
          <w:p>
            <w:pPr>
              <w:ind w:left="100"/>
              <w:jc w:val="both"/>
              <w:rPr>
                <w:rFonts w:ascii="宋体" w:hAnsi="宋体" w:eastAsia="宋体"/>
                <w:b/>
                <w:bCs/>
                <w:w w:val="98"/>
                <w:sz w:val="21"/>
                <w:szCs w:val="21"/>
              </w:rPr>
            </w:pPr>
          </w:p>
        </w:tc>
        <w:tc>
          <w:tcPr>
            <w:tcW w:w="3298" w:type="dxa"/>
          </w:tcPr>
          <w:p>
            <w:pPr>
              <w:ind w:left="100"/>
              <w:jc w:val="both"/>
              <w:rPr>
                <w:rFonts w:ascii="宋体" w:hAnsi="宋体" w:eastAsia="宋体"/>
                <w:b/>
                <w:bCs/>
                <w:w w:val="98"/>
                <w:sz w:val="21"/>
                <w:szCs w:val="21"/>
              </w:rPr>
            </w:pPr>
          </w:p>
        </w:tc>
        <w:tc>
          <w:tcPr>
            <w:tcW w:w="1047"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91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299" w:type="dxa"/>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3</w:t>
            </w:r>
            <w:r>
              <w:rPr>
                <w:rFonts w:ascii="宋体" w:hAnsi="宋体" w:eastAsia="宋体"/>
                <w:b/>
                <w:bCs/>
                <w:sz w:val="21"/>
                <w:szCs w:val="21"/>
              </w:rPr>
              <w:t>人员结构</w:t>
            </w:r>
          </w:p>
          <w:p>
            <w:pPr>
              <w:rPr>
                <w:rFonts w:ascii="宋体" w:hAnsi="宋体" w:eastAsia="宋体"/>
                <w:sz w:val="21"/>
                <w:szCs w:val="21"/>
              </w:rPr>
            </w:pPr>
            <w:r>
              <w:rPr>
                <w:rFonts w:ascii="宋体" w:hAnsi="宋体" w:eastAsia="宋体"/>
                <w:sz w:val="21"/>
                <w:szCs w:val="21"/>
              </w:rPr>
              <w:t>师资队伍年龄结构合理，30-50 岁教师的比例不低于 50%；任课教师中教授的比例不低于 30%，获得硕士及以上学位的比例不低于 60%，具有博士学位的比例不低于40%。</w:t>
            </w:r>
          </w:p>
        </w:tc>
        <w:tc>
          <w:tcPr>
            <w:tcW w:w="3298" w:type="dxa"/>
          </w:tcPr>
          <w:p>
            <w:pPr>
              <w:ind w:left="100"/>
              <w:jc w:val="both"/>
              <w:rPr>
                <w:rFonts w:ascii="宋体" w:hAnsi="宋体" w:eastAsia="宋体"/>
                <w:b/>
                <w:bCs/>
                <w:w w:val="98"/>
                <w:sz w:val="21"/>
                <w:szCs w:val="21"/>
              </w:rPr>
            </w:pPr>
          </w:p>
        </w:tc>
        <w:tc>
          <w:tcPr>
            <w:tcW w:w="3298" w:type="dxa"/>
          </w:tcPr>
          <w:p>
            <w:pPr>
              <w:ind w:left="100"/>
              <w:jc w:val="both"/>
              <w:rPr>
                <w:rFonts w:ascii="宋体" w:hAnsi="宋体" w:eastAsia="宋体"/>
                <w:b/>
                <w:bCs/>
                <w:w w:val="98"/>
                <w:sz w:val="21"/>
                <w:szCs w:val="21"/>
              </w:rPr>
            </w:pPr>
          </w:p>
        </w:tc>
        <w:tc>
          <w:tcPr>
            <w:tcW w:w="1047"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91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299" w:type="dxa"/>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4骨干教师</w:t>
            </w:r>
          </w:p>
          <w:p>
            <w:pPr>
              <w:rPr>
                <w:rFonts w:ascii="宋体" w:hAnsi="宋体" w:eastAsia="宋体"/>
                <w:sz w:val="21"/>
                <w:szCs w:val="21"/>
              </w:rPr>
            </w:pPr>
            <w:r>
              <w:rPr>
                <w:rFonts w:ascii="宋体" w:hAnsi="宋体" w:eastAsia="宋体"/>
                <w:sz w:val="21"/>
                <w:szCs w:val="21"/>
              </w:rPr>
              <w:t>至少有 2 名骨干教师。近 5 年，骨干教师需在高水平期刊上发表论文不少于 5 篇；作为课题负责人至少承担 1 项省部级及以上科研项目；获得过省部级二等奖及以上奖项者或获得省部级精品课程奖励的，部分条件可以放宽。</w:t>
            </w:r>
          </w:p>
        </w:tc>
        <w:tc>
          <w:tcPr>
            <w:tcW w:w="3298" w:type="dxa"/>
          </w:tcPr>
          <w:p>
            <w:pPr>
              <w:ind w:left="100"/>
              <w:jc w:val="both"/>
              <w:rPr>
                <w:rFonts w:ascii="宋体" w:hAnsi="宋体" w:eastAsia="宋体"/>
                <w:b/>
                <w:bCs/>
                <w:w w:val="98"/>
                <w:sz w:val="21"/>
                <w:szCs w:val="21"/>
              </w:rPr>
            </w:pPr>
          </w:p>
        </w:tc>
        <w:tc>
          <w:tcPr>
            <w:tcW w:w="3298" w:type="dxa"/>
          </w:tcPr>
          <w:p>
            <w:pPr>
              <w:ind w:left="100"/>
              <w:jc w:val="both"/>
              <w:rPr>
                <w:rFonts w:ascii="宋体" w:hAnsi="宋体" w:eastAsia="宋体"/>
                <w:b/>
                <w:bCs/>
                <w:w w:val="98"/>
                <w:sz w:val="21"/>
                <w:szCs w:val="21"/>
              </w:rPr>
            </w:pPr>
          </w:p>
        </w:tc>
        <w:tc>
          <w:tcPr>
            <w:tcW w:w="1047"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91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3.人才培养</w:t>
            </w:r>
          </w:p>
        </w:tc>
        <w:tc>
          <w:tcPr>
            <w:tcW w:w="3299" w:type="dxa"/>
          </w:tcPr>
          <w:p>
            <w:pPr>
              <w:rPr>
                <w:rFonts w:ascii="宋体" w:hAnsi="宋体" w:eastAsia="宋体"/>
                <w:b/>
                <w:bCs/>
                <w:sz w:val="21"/>
                <w:szCs w:val="21"/>
              </w:rPr>
            </w:pPr>
            <w:r>
              <w:rPr>
                <w:rFonts w:ascii="宋体" w:hAnsi="宋体" w:eastAsia="宋体"/>
                <w:b/>
                <w:bCs/>
                <w:sz w:val="21"/>
                <w:szCs w:val="21"/>
              </w:rPr>
              <w:t>3.</w:t>
            </w:r>
            <w:r>
              <w:rPr>
                <w:rFonts w:hint="eastAsia" w:ascii="宋体" w:hAnsi="宋体" w:eastAsia="宋体"/>
                <w:b/>
                <w:bCs/>
                <w:sz w:val="21"/>
                <w:szCs w:val="21"/>
              </w:rPr>
              <w:t>5课程与教学</w:t>
            </w:r>
          </w:p>
          <w:p>
            <w:pPr>
              <w:rPr>
                <w:rFonts w:ascii="宋体" w:hAnsi="宋体" w:eastAsia="宋体"/>
                <w:sz w:val="21"/>
                <w:szCs w:val="21"/>
              </w:rPr>
            </w:pPr>
            <w:r>
              <w:rPr>
                <w:rFonts w:ascii="宋体" w:hAnsi="宋体" w:eastAsia="宋体"/>
                <w:sz w:val="21"/>
                <w:szCs w:val="21"/>
              </w:rPr>
              <w:t>研究生培养方案科学合理、具有可操作性，课程设置、教学组织切实体现应用导向、职业需求和执业目标。每门核心课程及重要必修课程须配备 2 名以上具有较丰富实践教学经验的专任教师。理论教学形式多样，实践教学时间充足。严格执行双导师制度。研究生在校期间，须参与 1 项以上与新闻与传播专业有关的科研工作或实践工作。</w:t>
            </w:r>
          </w:p>
        </w:tc>
        <w:tc>
          <w:tcPr>
            <w:tcW w:w="3298" w:type="dxa"/>
          </w:tcPr>
          <w:p>
            <w:pPr>
              <w:ind w:left="100"/>
              <w:jc w:val="both"/>
              <w:rPr>
                <w:rFonts w:ascii="宋体" w:hAnsi="宋体" w:eastAsia="宋体"/>
                <w:b/>
                <w:bCs/>
                <w:w w:val="98"/>
                <w:sz w:val="21"/>
                <w:szCs w:val="21"/>
              </w:rPr>
            </w:pPr>
          </w:p>
        </w:tc>
        <w:tc>
          <w:tcPr>
            <w:tcW w:w="3298" w:type="dxa"/>
          </w:tcPr>
          <w:p>
            <w:pPr>
              <w:ind w:left="100"/>
              <w:jc w:val="both"/>
              <w:rPr>
                <w:rFonts w:ascii="宋体" w:hAnsi="宋体" w:eastAsia="宋体"/>
                <w:b/>
                <w:bCs/>
                <w:w w:val="98"/>
                <w:sz w:val="21"/>
                <w:szCs w:val="21"/>
              </w:rPr>
            </w:pPr>
          </w:p>
        </w:tc>
        <w:tc>
          <w:tcPr>
            <w:tcW w:w="1047"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91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299" w:type="dxa"/>
          </w:tcPr>
          <w:p>
            <w:pPr>
              <w:rPr>
                <w:rFonts w:ascii="宋体" w:hAnsi="宋体" w:eastAsia="宋体"/>
                <w:b/>
                <w:bCs/>
                <w:sz w:val="21"/>
                <w:szCs w:val="21"/>
              </w:rPr>
            </w:pPr>
            <w:r>
              <w:rPr>
                <w:rFonts w:ascii="宋体" w:hAnsi="宋体" w:eastAsia="宋体"/>
                <w:b/>
                <w:bCs/>
                <w:sz w:val="21"/>
                <w:szCs w:val="21"/>
              </w:rPr>
              <w:t>3.</w:t>
            </w:r>
            <w:r>
              <w:rPr>
                <w:rFonts w:hint="eastAsia" w:ascii="宋体" w:hAnsi="宋体" w:eastAsia="宋体"/>
                <w:b/>
                <w:bCs/>
                <w:sz w:val="21"/>
                <w:szCs w:val="21"/>
              </w:rPr>
              <w:t>6培养质量</w:t>
            </w:r>
          </w:p>
          <w:p>
            <w:pPr>
              <w:rPr>
                <w:rFonts w:ascii="宋体" w:hAnsi="宋体" w:eastAsia="宋体"/>
                <w:sz w:val="21"/>
                <w:szCs w:val="21"/>
              </w:rPr>
            </w:pPr>
            <w:r>
              <w:rPr>
                <w:rFonts w:ascii="宋体" w:hAnsi="宋体" w:eastAsia="宋体"/>
                <w:sz w:val="21"/>
                <w:szCs w:val="21"/>
              </w:rPr>
              <w:t>近 5 年本专业或相关学科获得省部级及以上教学成果奖励数量不低于 1项。近 5 年的毕业生得到业界广泛认可，有一定的代表人物和作品。有近 5 年毕业生的就业情况统计数据，有相对完备的研究生教育质量保障与监督制度。</w:t>
            </w:r>
          </w:p>
        </w:tc>
        <w:tc>
          <w:tcPr>
            <w:tcW w:w="3298" w:type="dxa"/>
          </w:tcPr>
          <w:p>
            <w:pPr>
              <w:ind w:left="100"/>
              <w:jc w:val="both"/>
              <w:rPr>
                <w:rFonts w:ascii="宋体" w:hAnsi="宋体" w:eastAsia="宋体"/>
                <w:b/>
                <w:bCs/>
                <w:w w:val="98"/>
                <w:sz w:val="21"/>
                <w:szCs w:val="21"/>
              </w:rPr>
            </w:pPr>
          </w:p>
        </w:tc>
        <w:tc>
          <w:tcPr>
            <w:tcW w:w="3298" w:type="dxa"/>
          </w:tcPr>
          <w:p>
            <w:pPr>
              <w:ind w:left="100"/>
              <w:jc w:val="both"/>
              <w:rPr>
                <w:rFonts w:ascii="宋体" w:hAnsi="宋体" w:eastAsia="宋体"/>
                <w:b/>
                <w:bCs/>
                <w:w w:val="98"/>
                <w:sz w:val="21"/>
                <w:szCs w:val="21"/>
              </w:rPr>
            </w:pPr>
          </w:p>
        </w:tc>
        <w:tc>
          <w:tcPr>
            <w:tcW w:w="1047"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91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4.培养环境与条件</w:t>
            </w:r>
          </w:p>
        </w:tc>
        <w:tc>
          <w:tcPr>
            <w:tcW w:w="3299"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7科研水平</w:t>
            </w:r>
          </w:p>
          <w:p>
            <w:pPr>
              <w:rPr>
                <w:rFonts w:ascii="宋体" w:hAnsi="宋体" w:eastAsia="宋体"/>
                <w:sz w:val="21"/>
                <w:szCs w:val="21"/>
              </w:rPr>
            </w:pPr>
            <w:r>
              <w:rPr>
                <w:rFonts w:ascii="宋体" w:hAnsi="宋体" w:eastAsia="宋体"/>
                <w:sz w:val="21"/>
                <w:szCs w:val="21"/>
              </w:rPr>
              <w:t>与新闻与传播行业或管理部门在教学、科研及人才培养等方面有较稳定的合作关系。</w:t>
            </w:r>
          </w:p>
        </w:tc>
        <w:tc>
          <w:tcPr>
            <w:tcW w:w="3298" w:type="dxa"/>
          </w:tcPr>
          <w:p>
            <w:pPr>
              <w:ind w:left="100"/>
              <w:jc w:val="both"/>
              <w:rPr>
                <w:rFonts w:ascii="宋体" w:hAnsi="宋体" w:eastAsia="宋体"/>
                <w:b/>
                <w:bCs/>
                <w:w w:val="98"/>
                <w:sz w:val="21"/>
                <w:szCs w:val="21"/>
              </w:rPr>
            </w:pPr>
          </w:p>
        </w:tc>
        <w:tc>
          <w:tcPr>
            <w:tcW w:w="3298" w:type="dxa"/>
          </w:tcPr>
          <w:p>
            <w:pPr>
              <w:ind w:left="100"/>
              <w:jc w:val="both"/>
              <w:rPr>
                <w:rFonts w:ascii="宋体" w:hAnsi="宋体" w:eastAsia="宋体"/>
                <w:b/>
                <w:bCs/>
                <w:w w:val="98"/>
                <w:sz w:val="21"/>
                <w:szCs w:val="21"/>
              </w:rPr>
            </w:pPr>
          </w:p>
        </w:tc>
        <w:tc>
          <w:tcPr>
            <w:tcW w:w="1047"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91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sz w:val="21"/>
                <w:szCs w:val="21"/>
              </w:rPr>
            </w:pPr>
          </w:p>
        </w:tc>
        <w:tc>
          <w:tcPr>
            <w:tcW w:w="3299"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8实践教学</w:t>
            </w:r>
          </w:p>
          <w:p>
            <w:pPr>
              <w:rPr>
                <w:rFonts w:ascii="宋体" w:hAnsi="宋体" w:eastAsia="宋体"/>
                <w:sz w:val="21"/>
                <w:szCs w:val="21"/>
              </w:rPr>
            </w:pPr>
            <w:r>
              <w:rPr>
                <w:rFonts w:ascii="宋体" w:hAnsi="宋体" w:eastAsia="宋体"/>
                <w:sz w:val="21"/>
                <w:szCs w:val="21"/>
              </w:rPr>
              <w:t>能为培养新闻与传播专业硕士提供较好的社会实践与教学场所。有丰富实践经验、较高学术水平或技术专长的专家，能够讲授专业课程，指导专业学位研究生。有不少于 3 家长期稳定的教学实践基地，要提供和保障所有新闻与传播专业硕士开展实践的条件， 确保实践教学质量。</w:t>
            </w:r>
          </w:p>
        </w:tc>
        <w:tc>
          <w:tcPr>
            <w:tcW w:w="3298" w:type="dxa"/>
          </w:tcPr>
          <w:p>
            <w:pPr>
              <w:ind w:left="100"/>
              <w:jc w:val="both"/>
              <w:rPr>
                <w:rFonts w:ascii="宋体" w:hAnsi="宋体" w:eastAsia="宋体"/>
                <w:b/>
                <w:bCs/>
                <w:w w:val="98"/>
                <w:sz w:val="21"/>
                <w:szCs w:val="21"/>
              </w:rPr>
            </w:pPr>
          </w:p>
        </w:tc>
        <w:tc>
          <w:tcPr>
            <w:tcW w:w="3298" w:type="dxa"/>
          </w:tcPr>
          <w:p>
            <w:pPr>
              <w:ind w:left="100"/>
              <w:jc w:val="both"/>
              <w:rPr>
                <w:rFonts w:ascii="宋体" w:hAnsi="宋体" w:eastAsia="宋体"/>
                <w:b/>
                <w:bCs/>
                <w:w w:val="98"/>
                <w:sz w:val="21"/>
                <w:szCs w:val="21"/>
              </w:rPr>
            </w:pPr>
          </w:p>
        </w:tc>
        <w:tc>
          <w:tcPr>
            <w:tcW w:w="1047"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91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sz w:val="21"/>
                <w:szCs w:val="21"/>
              </w:rPr>
            </w:pPr>
          </w:p>
        </w:tc>
        <w:tc>
          <w:tcPr>
            <w:tcW w:w="3299"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9</w:t>
            </w:r>
            <w:r>
              <w:rPr>
                <w:rFonts w:ascii="宋体" w:hAnsi="宋体" w:eastAsia="宋体"/>
                <w:b/>
                <w:bCs/>
                <w:sz w:val="21"/>
                <w:szCs w:val="21"/>
              </w:rPr>
              <w:t xml:space="preserve"> 支撑条件</w:t>
            </w:r>
          </w:p>
          <w:p>
            <w:pPr>
              <w:rPr>
                <w:rFonts w:ascii="宋体" w:hAnsi="宋体" w:eastAsia="宋体"/>
                <w:sz w:val="21"/>
                <w:szCs w:val="21"/>
              </w:rPr>
            </w:pPr>
            <w:r>
              <w:rPr>
                <w:rFonts w:ascii="宋体" w:hAnsi="宋体" w:eastAsia="宋体"/>
                <w:sz w:val="21"/>
                <w:szCs w:val="21"/>
              </w:rPr>
              <w:t>申请单位应具有完整的培养新闻与传播学专业本科生的经验，至少有 5 届本科毕业生。有一定数量和较高标准的新闻与传播专业硕士专用教室、实验室等。能为新闻与传播专业硕士提供便捷使用校园网络和信息资源等条件。有较为丰富的新闻与传播专业及相关领域专业图书资料。有完善的奖助学金制度和创新创业等方面的管理措施。设立专门的管理机构，配备专职管理人员，制定完善的培养流程和配套管理文件，具有保障稳定专硕教师队伍建设的经费，尤其配有保障业界导师队伍建设的专项经费，保证培养质量。</w:t>
            </w:r>
          </w:p>
        </w:tc>
        <w:tc>
          <w:tcPr>
            <w:tcW w:w="3298" w:type="dxa"/>
          </w:tcPr>
          <w:p>
            <w:pPr>
              <w:ind w:left="100"/>
              <w:jc w:val="both"/>
              <w:rPr>
                <w:rFonts w:ascii="宋体" w:hAnsi="宋体" w:eastAsia="宋体"/>
                <w:b/>
                <w:bCs/>
                <w:w w:val="98"/>
                <w:sz w:val="21"/>
                <w:szCs w:val="21"/>
              </w:rPr>
            </w:pPr>
          </w:p>
        </w:tc>
        <w:tc>
          <w:tcPr>
            <w:tcW w:w="3298" w:type="dxa"/>
          </w:tcPr>
          <w:p>
            <w:pPr>
              <w:ind w:left="100"/>
              <w:jc w:val="both"/>
              <w:rPr>
                <w:rFonts w:ascii="宋体" w:hAnsi="宋体" w:eastAsia="宋体"/>
                <w:b/>
                <w:bCs/>
                <w:w w:val="98"/>
                <w:sz w:val="21"/>
                <w:szCs w:val="21"/>
              </w:rPr>
            </w:pPr>
          </w:p>
        </w:tc>
        <w:tc>
          <w:tcPr>
            <w:tcW w:w="1047"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917" w:type="dxa"/>
          </w:tcPr>
          <w:p>
            <w:pPr>
              <w:rPr>
                <w:rFonts w:hint="eastAsia" w:ascii="宋体" w:hAnsi="宋体" w:eastAsia="宋体"/>
                <w:b/>
                <w:bCs/>
                <w:w w:val="98"/>
                <w:sz w:val="21"/>
                <w:szCs w:val="21"/>
              </w:rPr>
            </w:pPr>
          </w:p>
        </w:tc>
      </w:tr>
    </w:tbl>
    <w:p>
      <w:pPr>
        <w:rPr>
          <w:rFonts w:ascii="宋体" w:hAnsi="宋体" w:eastAsia="宋体"/>
        </w:rPr>
      </w:pPr>
    </w:p>
    <w:sectPr>
      <w:footerReference r:id="rId3" w:type="default"/>
      <w:pgSz w:w="16838" w:h="11906" w:orient="landscape"/>
      <w:pgMar w:top="1418" w:right="1134" w:bottom="1418"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6374160"/>
    </w:sdtPr>
    <w:sdtEndPr>
      <w:rPr>
        <w:rFonts w:ascii="Times New Roman" w:hAnsi="Times New Roman" w:cs="Times New Roman"/>
      </w:rPr>
    </w:sdtEndPr>
    <w:sdtContent>
      <w:p>
        <w:pPr>
          <w:pStyle w:val="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1</w:t>
        </w:r>
        <w:r>
          <w:rPr>
            <w:rFonts w:ascii="Times New Roman" w:hAnsi="Times New Roman" w:cs="Times New Roma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mZDMwZTI3MDg0NGJkNzdiMTg5ZDIxMzk1MDU3ZjIifQ=="/>
  </w:docVars>
  <w:rsids>
    <w:rsidRoot w:val="008D6138"/>
    <w:rsid w:val="0000461E"/>
    <w:rsid w:val="00020DFE"/>
    <w:rsid w:val="00362B60"/>
    <w:rsid w:val="00382789"/>
    <w:rsid w:val="003A66E8"/>
    <w:rsid w:val="0045577A"/>
    <w:rsid w:val="004B56F0"/>
    <w:rsid w:val="00572956"/>
    <w:rsid w:val="00634FD8"/>
    <w:rsid w:val="00644A8D"/>
    <w:rsid w:val="007756B4"/>
    <w:rsid w:val="00817BE4"/>
    <w:rsid w:val="008656FD"/>
    <w:rsid w:val="008D5343"/>
    <w:rsid w:val="008D6138"/>
    <w:rsid w:val="0092156B"/>
    <w:rsid w:val="009B13B9"/>
    <w:rsid w:val="00A50A70"/>
    <w:rsid w:val="00A57430"/>
    <w:rsid w:val="00AB1728"/>
    <w:rsid w:val="00AC1D6F"/>
    <w:rsid w:val="00B218EE"/>
    <w:rsid w:val="00C00031"/>
    <w:rsid w:val="00C20324"/>
    <w:rsid w:val="00CE75B7"/>
    <w:rsid w:val="00D27FC7"/>
    <w:rsid w:val="00DB396E"/>
    <w:rsid w:val="00DF2B8A"/>
    <w:rsid w:val="00F1186C"/>
    <w:rsid w:val="00FA477A"/>
    <w:rsid w:val="03862218"/>
    <w:rsid w:val="11434DDF"/>
    <w:rsid w:val="15305968"/>
    <w:rsid w:val="3C9B652D"/>
    <w:rsid w:val="4A9B23CF"/>
    <w:rsid w:val="58B929B3"/>
    <w:rsid w:val="59CC5484"/>
    <w:rsid w:val="5DCA5FD8"/>
    <w:rsid w:val="6D624AD1"/>
    <w:rsid w:val="6FDF008C"/>
    <w:rsid w:val="74657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pPr>
    <w:rPr>
      <w:rFonts w:asciiTheme="minorHAnsi" w:hAnsiTheme="minorHAnsi" w:cstheme="minorBidi"/>
      <w:kern w:val="2"/>
      <w:sz w:val="18"/>
      <w:szCs w:val="18"/>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cstheme="minorBidi"/>
      <w:kern w:val="2"/>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qFormat/>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1192</Words>
  <Characters>1234</Characters>
  <Lines>9</Lines>
  <Paragraphs>2</Paragraphs>
  <TotalTime>1</TotalTime>
  <ScaleCrop>false</ScaleCrop>
  <LinksUpToDate>false</LinksUpToDate>
  <CharactersWithSpaces>1297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2020-10-12T12:59:00Z</dcterms:created>
  <dc:creator>温 超东</dc:creator>
  <cp:lastModifiedBy>hbue</cp:lastModifiedBy>
  <dcterms:modified xsi:type="dcterms:W3CDTF">2022-06-21T09:00:05Z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6F76C8164C1C40D98848E2EF01A814E7</vt:lpwstr>
  </property>
</Properties>
</file>