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9" w:lineRule="auto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z w:val="32"/>
          <w:szCs w:val="32"/>
        </w:rPr>
        <w:t>申请新增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法学</w:t>
      </w:r>
      <w:r>
        <w:rPr>
          <w:rFonts w:ascii="黑体" w:hAnsi="黑体" w:eastAsia="黑体" w:cs="黑体"/>
          <w:b/>
          <w:bCs/>
          <w:sz w:val="32"/>
          <w:szCs w:val="32"/>
        </w:rPr>
        <w:t>一级学科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硕</w:t>
      </w:r>
      <w:r>
        <w:rPr>
          <w:rFonts w:ascii="黑体" w:hAnsi="黑体" w:eastAsia="黑体" w:cs="黑体"/>
          <w:b/>
          <w:bCs/>
          <w:sz w:val="32"/>
          <w:szCs w:val="32"/>
        </w:rPr>
        <w:t>士学位授权点基本条件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建设清单</w:t>
      </w:r>
    </w:p>
    <w:p>
      <w:pPr>
        <w:spacing w:line="329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学位点代码：0301</w:t>
      </w:r>
      <w:r>
        <w:rPr>
          <w:rFonts w:ascii="宋体" w:hAnsi="宋体" w:eastAsia="宋体"/>
          <w:b/>
          <w:bCs/>
          <w:sz w:val="24"/>
          <w:szCs w:val="24"/>
        </w:rPr>
        <w:t xml:space="preserve">                            </w:t>
      </w:r>
      <w:r>
        <w:rPr>
          <w:rFonts w:hint="eastAsia" w:ascii="宋体" w:hAnsi="宋体" w:eastAsia="宋体"/>
          <w:b/>
          <w:bCs/>
          <w:sz w:val="24"/>
          <w:szCs w:val="24"/>
        </w:rPr>
        <w:t>学位点名称：法学</w:t>
      </w:r>
    </w:p>
    <w:tbl>
      <w:tblPr>
        <w:tblStyle w:val="5"/>
        <w:tblW w:w="14573" w:type="dxa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2"/>
        <w:gridCol w:w="4032"/>
        <w:gridCol w:w="3286"/>
        <w:gridCol w:w="3048"/>
        <w:gridCol w:w="1012"/>
        <w:gridCol w:w="2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458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申请基本条件</w:t>
            </w:r>
          </w:p>
        </w:tc>
        <w:tc>
          <w:tcPr>
            <w:tcW w:w="3286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2022年1至6月建设成果（逐项列举）</w:t>
            </w:r>
          </w:p>
        </w:tc>
        <w:tc>
          <w:tcPr>
            <w:tcW w:w="304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学科现状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及差距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（根据申请基本条件，逐项描述达标情况）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自审是否达标 （√）</w:t>
            </w:r>
          </w:p>
        </w:tc>
        <w:tc>
          <w:tcPr>
            <w:tcW w:w="26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拟采取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2" w:type="dxa"/>
            <w:vMerge w:val="restart"/>
          </w:tcPr>
          <w:p>
            <w:pPr>
              <w:ind w:left="120"/>
              <w:jc w:val="both"/>
              <w:rPr>
                <w:rFonts w:ascii="宋体" w:hAnsi="宋体" w:eastAsia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1.学科方向与特色</w:t>
            </w:r>
          </w:p>
        </w:tc>
        <w:tc>
          <w:tcPr>
            <w:tcW w:w="4032" w:type="dxa"/>
          </w:tcPr>
          <w:p>
            <w:pPr>
              <w:ind w:left="100"/>
              <w:jc w:val="both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  <w:t>1.1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学科方向</w:t>
            </w:r>
          </w:p>
          <w:p>
            <w:pPr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至少具有 4 个稳定的主干学科方向，且所设学科方向能够面向国家经济建设和法治建设、社会发展和科学技术进步的需要。</w:t>
            </w:r>
          </w:p>
        </w:tc>
        <w:tc>
          <w:tcPr>
            <w:tcW w:w="3286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048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643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2" w:type="dxa"/>
            <w:vMerge w:val="continue"/>
            <w:vAlign w:val="center"/>
          </w:tcPr>
          <w:p>
            <w:pPr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032" w:type="dxa"/>
          </w:tcPr>
          <w:p>
            <w:pPr>
              <w:ind w:left="100"/>
              <w:jc w:val="both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  <w:t>1.2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学科特色</w:t>
            </w:r>
          </w:p>
          <w:p>
            <w:pPr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主干学科方向中，至少具有 1 个与区域的需求契合度高、具有较强科研实力和较高社会声誉的特色学科方向。</w:t>
            </w:r>
          </w:p>
        </w:tc>
        <w:tc>
          <w:tcPr>
            <w:tcW w:w="3286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048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643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2" w:type="dxa"/>
            <w:vMerge w:val="restart"/>
          </w:tcPr>
          <w:p>
            <w:pPr>
              <w:ind w:left="120"/>
              <w:jc w:val="both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2.学科队伍</w:t>
            </w:r>
          </w:p>
        </w:tc>
        <w:tc>
          <w:tcPr>
            <w:tcW w:w="4032" w:type="dxa"/>
          </w:tcPr>
          <w:p>
            <w:pPr>
              <w:ind w:left="100"/>
              <w:jc w:val="both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  <w:t>2.3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人员规模</w:t>
            </w:r>
          </w:p>
          <w:p>
            <w:pPr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专任教师不少于 20 人，每个学科方向不少于 3 人。</w:t>
            </w:r>
          </w:p>
        </w:tc>
        <w:tc>
          <w:tcPr>
            <w:tcW w:w="3286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048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643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2" w:type="dxa"/>
            <w:vMerge w:val="continue"/>
          </w:tcPr>
          <w:p>
            <w:pPr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032" w:type="dxa"/>
          </w:tcPr>
          <w:p>
            <w:pPr>
              <w:ind w:left="100"/>
              <w:jc w:val="both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  <w:t>2.4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人员结构</w:t>
            </w:r>
          </w:p>
          <w:p>
            <w:pPr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专任教师的年龄结构和专业结构合理。其中，正高级职称人员不少于 4人，具有博士学位的比例不低于 1/3，45 岁及以下的比例不低于 1/2。</w:t>
            </w:r>
          </w:p>
        </w:tc>
        <w:tc>
          <w:tcPr>
            <w:tcW w:w="3286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048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643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2" w:type="dxa"/>
            <w:vMerge w:val="continue"/>
          </w:tcPr>
          <w:p>
            <w:pPr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032" w:type="dxa"/>
          </w:tcPr>
          <w:p>
            <w:pPr>
              <w:ind w:left="100"/>
              <w:jc w:val="both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  <w:t>2.5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学科带头人与学术骨干</w:t>
            </w:r>
          </w:p>
          <w:p>
            <w:pPr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 名及以上学科带头人或学术骨干承担国家级课题、具有在本学科或相关学科完整培养硕士研究生的经验。</w:t>
            </w:r>
          </w:p>
        </w:tc>
        <w:tc>
          <w:tcPr>
            <w:tcW w:w="3286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048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643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2" w:type="dxa"/>
            <w:vMerge w:val="restart"/>
          </w:tcPr>
          <w:p>
            <w:pPr>
              <w:ind w:left="120"/>
              <w:jc w:val="both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3.人才培养</w:t>
            </w:r>
          </w:p>
        </w:tc>
        <w:tc>
          <w:tcPr>
            <w:tcW w:w="4032" w:type="dxa"/>
          </w:tcPr>
          <w:p>
            <w:pPr>
              <w:ind w:left="100"/>
              <w:jc w:val="both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  <w:t>3.6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课程与教学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能够为硕士研究生开设必要的基础性知识、专业性知识课程，教学管理严格规范。</w:t>
            </w:r>
          </w:p>
        </w:tc>
        <w:tc>
          <w:tcPr>
            <w:tcW w:w="3286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048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643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2" w:type="dxa"/>
            <w:vMerge w:val="continue"/>
          </w:tcPr>
          <w:p>
            <w:pPr>
              <w:ind w:left="120"/>
              <w:jc w:val="both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4032" w:type="dxa"/>
          </w:tcPr>
          <w:p>
            <w:pPr>
              <w:ind w:left="100"/>
              <w:jc w:val="both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  <w:t>3.7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培养质量</w:t>
            </w:r>
          </w:p>
          <w:p>
            <w:pPr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培养人才质量较高，受到社会的普遍好评。近 5 年，在校本科生有一定比例获得省部级及以上奖励。</w:t>
            </w:r>
          </w:p>
        </w:tc>
        <w:tc>
          <w:tcPr>
            <w:tcW w:w="3286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048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643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2" w:type="dxa"/>
            <w:vMerge w:val="restart"/>
          </w:tcPr>
          <w:p>
            <w:pPr>
              <w:ind w:left="120"/>
              <w:jc w:val="both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4.培养环境与条件</w:t>
            </w:r>
          </w:p>
        </w:tc>
        <w:tc>
          <w:tcPr>
            <w:tcW w:w="4032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  <w:t>4.8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科学研究</w:t>
            </w:r>
          </w:p>
          <w:p>
            <w:pPr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近 5 年来，本学科实际获得并计入本单位财务账目的科研经费合计不低于200 万元，其中纵向科研经费不低于 100 万元，获得厅级及以上奖项不少于 5 项。在研的省部级及以上项目不少于 10 项。</w:t>
            </w:r>
          </w:p>
        </w:tc>
        <w:tc>
          <w:tcPr>
            <w:tcW w:w="3286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048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643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2" w:type="dxa"/>
            <w:vMerge w:val="continue"/>
          </w:tcPr>
          <w:p>
            <w:pPr>
              <w:ind w:left="120"/>
              <w:jc w:val="both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4032" w:type="dxa"/>
          </w:tcPr>
          <w:p>
            <w:pPr>
              <w:spacing w:line="322" w:lineRule="auto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4.9学术交流</w:t>
            </w:r>
          </w:p>
          <w:p>
            <w:pPr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近 5 年，专任教师参加国际学术会议 3 人次以上，参加全国性学术会议年均 5 人次及以上，有一定比例本科生或研究生参与各类学术交流活动。</w:t>
            </w:r>
          </w:p>
        </w:tc>
        <w:tc>
          <w:tcPr>
            <w:tcW w:w="3286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048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643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52" w:type="dxa"/>
            <w:vMerge w:val="continue"/>
          </w:tcPr>
          <w:p>
            <w:pPr>
              <w:ind w:left="120"/>
              <w:jc w:val="both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4032" w:type="dxa"/>
          </w:tcPr>
          <w:p>
            <w:pPr>
              <w:spacing w:line="294" w:lineRule="auto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 xml:space="preserve">4.10 支撑条件 </w:t>
            </w:r>
          </w:p>
          <w:p>
            <w:pPr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拥有比较先进的教学、实验仪器设备，国内外图书资料不少于 5 万册， 能满足培养硕士研究生的需要。有较为完备的学风与学术道德制度，有较为合理的学校学科建设和研究生培养管理制度，奖助体系完备。聘请具有相关实务经验的法律实务人士担任实务导师。</w:t>
            </w:r>
          </w:p>
        </w:tc>
        <w:tc>
          <w:tcPr>
            <w:tcW w:w="3286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3048" w:type="dxa"/>
          </w:tcPr>
          <w:p>
            <w:pPr>
              <w:ind w:left="100"/>
              <w:jc w:val="both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□是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w w:val="98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  <w:t>□否</w:t>
            </w:r>
          </w:p>
        </w:tc>
        <w:tc>
          <w:tcPr>
            <w:tcW w:w="2643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w w:val="98"/>
                <w:sz w:val="21"/>
                <w:szCs w:val="21"/>
              </w:rPr>
            </w:pPr>
          </w:p>
        </w:tc>
      </w:tr>
    </w:tbl>
    <w:p>
      <w:pPr>
        <w:rPr>
          <w:rFonts w:ascii="宋体" w:hAnsi="宋体" w:eastAsia="宋体"/>
        </w:rPr>
      </w:pPr>
    </w:p>
    <w:sectPr>
      <w:footerReference r:id="rId3" w:type="default"/>
      <w:pgSz w:w="16838" w:h="11906" w:orient="landscape"/>
      <w:pgMar w:top="1418" w:right="1134" w:bottom="1418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56374160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>
        <w:pPr>
          <w:pStyle w:val="3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dmZDMwZTI3MDg0NGJkNzdiMTg5ZDIxMzk1MDU3ZjIifQ=="/>
  </w:docVars>
  <w:rsids>
    <w:rsidRoot w:val="008D6138"/>
    <w:rsid w:val="001A463B"/>
    <w:rsid w:val="00252DE7"/>
    <w:rsid w:val="003100E5"/>
    <w:rsid w:val="00362B60"/>
    <w:rsid w:val="00785259"/>
    <w:rsid w:val="00817BE4"/>
    <w:rsid w:val="00826AE2"/>
    <w:rsid w:val="00851632"/>
    <w:rsid w:val="008656FD"/>
    <w:rsid w:val="008A2B3A"/>
    <w:rsid w:val="008D6138"/>
    <w:rsid w:val="0092156B"/>
    <w:rsid w:val="009B13B9"/>
    <w:rsid w:val="00A42AF3"/>
    <w:rsid w:val="00A57430"/>
    <w:rsid w:val="00C20324"/>
    <w:rsid w:val="00C74D0A"/>
    <w:rsid w:val="00DE187D"/>
    <w:rsid w:val="00DF2B8A"/>
    <w:rsid w:val="15305968"/>
    <w:rsid w:val="15C803FD"/>
    <w:rsid w:val="3AD919DA"/>
    <w:rsid w:val="467348CA"/>
    <w:rsid w:val="56FF691C"/>
    <w:rsid w:val="5824731E"/>
    <w:rsid w:val="671E745E"/>
    <w:rsid w:val="6B7364AE"/>
    <w:rsid w:val="6D10530A"/>
    <w:rsid w:val="6D62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1"/>
    <w:pPr>
      <w:widowControl w:val="0"/>
      <w:autoSpaceDE w:val="0"/>
      <w:autoSpaceDN w:val="0"/>
      <w:ind w:left="104"/>
    </w:pPr>
    <w:rPr>
      <w:rFonts w:ascii="宋体" w:hAnsi="宋体" w:eastAsia="宋体" w:cs="宋体"/>
      <w:sz w:val="21"/>
      <w:szCs w:val="21"/>
      <w:lang w:eastAsia="en-US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1"/>
    <w:pPr>
      <w:widowControl w:val="0"/>
      <w:autoSpaceDE w:val="0"/>
      <w:autoSpaceDN w:val="0"/>
      <w:ind w:left="104" w:firstLine="420"/>
      <w:jc w:val="both"/>
    </w:pPr>
    <w:rPr>
      <w:rFonts w:ascii="宋体" w:hAnsi="宋体" w:eastAsia="宋体" w:cs="宋体"/>
      <w:lang w:eastAsia="en-US"/>
    </w:rPr>
  </w:style>
  <w:style w:type="character" w:customStyle="1" w:styleId="10">
    <w:name w:val="正文文本 字符"/>
    <w:basedOn w:val="6"/>
    <w:link w:val="2"/>
    <w:qFormat/>
    <w:uiPriority w:val="1"/>
    <w:rPr>
      <w:rFonts w:ascii="宋体" w:hAnsi="宋体" w:eastAsia="宋体" w:cs="宋体"/>
      <w:sz w:val="21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797</Words>
  <Characters>839</Characters>
  <Lines>6</Lines>
  <Paragraphs>1</Paragraphs>
  <TotalTime>0</TotalTime>
  <ScaleCrop>false</ScaleCrop>
  <LinksUpToDate>false</LinksUpToDate>
  <CharactersWithSpaces>904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2020-10-12T12:59:00Z</dcterms:created>
  <dc:creator>温 超东</dc:creator>
  <cp:lastModifiedBy>hbue</cp:lastModifiedBy>
  <dcterms:modified xsi:type="dcterms:W3CDTF">2022-06-21T08:57:31Z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0EF01A868CE245F998BE36A686E8C229</vt:lpwstr>
  </property>
</Properties>
</file>