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9" w:lineRule="auto"/>
        <w:jc w:val="center"/>
        <w:rPr>
          <w:rFonts w:hint="default" w:ascii="宋体" w:hAnsi="宋体" w:eastAsia="黑体"/>
          <w:b/>
          <w:bCs/>
          <w:sz w:val="44"/>
          <w:szCs w:val="44"/>
          <w:lang w:val="en-US" w:eastAsia="zh-CN"/>
        </w:rPr>
      </w:pPr>
      <w:r>
        <w:rPr>
          <w:rFonts w:ascii="黑体" w:hAnsi="黑体" w:eastAsia="黑体"/>
          <w:b/>
          <w:bCs/>
          <w:sz w:val="32"/>
          <w:szCs w:val="32"/>
        </w:rPr>
        <w:t>申请新增</w:t>
      </w:r>
      <w:r>
        <w:rPr>
          <w:rFonts w:hint="eastAsia" w:ascii="黑体" w:hAnsi="黑体" w:eastAsia="黑体"/>
          <w:b/>
          <w:bCs/>
          <w:sz w:val="32"/>
          <w:szCs w:val="32"/>
        </w:rPr>
        <w:t>审计硕</w:t>
      </w:r>
      <w:r>
        <w:rPr>
          <w:rFonts w:ascii="黑体" w:hAnsi="黑体" w:eastAsia="黑体"/>
          <w:b/>
          <w:bCs/>
          <w:sz w:val="32"/>
          <w:szCs w:val="32"/>
        </w:rPr>
        <w:t>士</w:t>
      </w:r>
      <w:r>
        <w:rPr>
          <w:rFonts w:hint="eastAsia" w:ascii="黑体" w:hAnsi="黑体" w:eastAsia="黑体"/>
          <w:b/>
          <w:bCs/>
          <w:sz w:val="32"/>
          <w:szCs w:val="32"/>
        </w:rPr>
        <w:t>专业</w:t>
      </w:r>
      <w:r>
        <w:rPr>
          <w:rFonts w:ascii="黑体" w:hAnsi="黑体" w:eastAsia="黑体"/>
          <w:b/>
          <w:bCs/>
          <w:sz w:val="32"/>
          <w:szCs w:val="32"/>
        </w:rPr>
        <w:t>学位授权点基本条件</w:t>
      </w:r>
      <w:r>
        <w:rPr>
          <w:rFonts w:hint="eastAsia" w:ascii="黑体" w:hAnsi="黑体" w:eastAsia="黑体"/>
          <w:b/>
          <w:bCs/>
          <w:sz w:val="32"/>
          <w:szCs w:val="32"/>
          <w:lang w:val="en-US" w:eastAsia="zh-CN"/>
        </w:rPr>
        <w:t>建设清单</w:t>
      </w:r>
    </w:p>
    <w:p>
      <w:pPr>
        <w:spacing w:line="329" w:lineRule="auto"/>
        <w:ind w:firstLine="482" w:firstLineChars="200"/>
        <w:rPr>
          <w:rFonts w:ascii="宋体" w:hAnsi="宋体" w:eastAsia="宋体"/>
          <w:b/>
          <w:bCs/>
          <w:sz w:val="24"/>
          <w:szCs w:val="24"/>
        </w:rPr>
      </w:pPr>
      <w:r>
        <w:rPr>
          <w:rFonts w:hint="eastAsia" w:ascii="宋体" w:hAnsi="宋体" w:eastAsia="宋体"/>
          <w:b/>
          <w:bCs/>
          <w:sz w:val="24"/>
          <w:szCs w:val="24"/>
        </w:rPr>
        <w:t>学位点代码：0257</w:t>
      </w:r>
      <w:r>
        <w:rPr>
          <w:rFonts w:ascii="宋体" w:hAnsi="宋体" w:eastAsia="宋体"/>
          <w:b/>
          <w:bCs/>
          <w:sz w:val="24"/>
          <w:szCs w:val="24"/>
        </w:rPr>
        <w:t xml:space="preserve">                            </w:t>
      </w:r>
      <w:r>
        <w:rPr>
          <w:rFonts w:hint="eastAsia" w:ascii="宋体" w:hAnsi="宋体" w:eastAsia="宋体"/>
          <w:b/>
          <w:bCs/>
          <w:sz w:val="24"/>
          <w:szCs w:val="24"/>
        </w:rPr>
        <w:t>学位点名称：审计</w:t>
      </w:r>
    </w:p>
    <w:tbl>
      <w:tblPr>
        <w:tblStyle w:val="6"/>
        <w:tblW w:w="14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32"/>
        <w:gridCol w:w="3372"/>
        <w:gridCol w:w="3230"/>
        <w:gridCol w:w="3119"/>
        <w:gridCol w:w="988"/>
        <w:gridCol w:w="3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1" w:hRule="atLeast"/>
          <w:jc w:val="center"/>
        </w:trPr>
        <w:tc>
          <w:tcPr>
            <w:tcW w:w="3804" w:type="dxa"/>
            <w:gridSpan w:val="2"/>
            <w:vAlign w:val="center"/>
          </w:tcPr>
          <w:p>
            <w:pPr>
              <w:jc w:val="center"/>
              <w:rPr>
                <w:rFonts w:ascii="宋体" w:hAnsi="宋体" w:eastAsia="宋体"/>
                <w:b/>
                <w:bCs/>
                <w:sz w:val="21"/>
                <w:szCs w:val="21"/>
              </w:rPr>
            </w:pPr>
            <w:r>
              <w:rPr>
                <w:rFonts w:ascii="宋体" w:hAnsi="宋体" w:eastAsia="宋体"/>
                <w:b/>
                <w:bCs/>
                <w:sz w:val="21"/>
                <w:szCs w:val="21"/>
              </w:rPr>
              <w:t>申请基本条件</w:t>
            </w:r>
          </w:p>
        </w:tc>
        <w:tc>
          <w:tcPr>
            <w:tcW w:w="3230" w:type="dxa"/>
            <w:vAlign w:val="center"/>
          </w:tcPr>
          <w:p>
            <w:pPr>
              <w:jc w:val="center"/>
              <w:rPr>
                <w:rFonts w:hint="eastAsia" w:ascii="宋体" w:hAnsi="宋体" w:eastAsia="宋体" w:cs="Times New Roman"/>
                <w:b/>
                <w:bCs/>
                <w:sz w:val="21"/>
                <w:szCs w:val="21"/>
                <w:lang w:val="en-US" w:eastAsia="zh-CN" w:bidi="ar-SA"/>
              </w:rPr>
            </w:pPr>
            <w:r>
              <w:rPr>
                <w:rFonts w:hint="eastAsia" w:ascii="宋体" w:hAnsi="宋体" w:eastAsia="宋体"/>
                <w:b/>
                <w:bCs/>
                <w:sz w:val="21"/>
                <w:szCs w:val="21"/>
                <w:lang w:val="en-US" w:eastAsia="zh-CN"/>
              </w:rPr>
              <w:t>2022年1至6月建设成果（逐项列举）</w:t>
            </w:r>
          </w:p>
        </w:tc>
        <w:tc>
          <w:tcPr>
            <w:tcW w:w="3119" w:type="dxa"/>
            <w:vAlign w:val="center"/>
          </w:tcPr>
          <w:p>
            <w:pPr>
              <w:jc w:val="center"/>
              <w:rPr>
                <w:rFonts w:ascii="宋体" w:hAnsi="宋体" w:eastAsia="宋体" w:cs="Times New Roman"/>
                <w:b/>
                <w:bCs/>
                <w:sz w:val="21"/>
                <w:szCs w:val="21"/>
                <w:lang w:val="en-US" w:eastAsia="zh-CN" w:bidi="ar-SA"/>
              </w:rPr>
            </w:pPr>
            <w:r>
              <w:rPr>
                <w:rFonts w:hint="eastAsia" w:ascii="宋体" w:hAnsi="宋体" w:eastAsia="宋体"/>
                <w:b/>
                <w:bCs/>
                <w:sz w:val="21"/>
                <w:szCs w:val="21"/>
              </w:rPr>
              <w:t>学科现状</w:t>
            </w:r>
            <w:r>
              <w:rPr>
                <w:rFonts w:hint="eastAsia" w:ascii="宋体" w:hAnsi="宋体" w:eastAsia="宋体"/>
                <w:b/>
                <w:bCs/>
                <w:sz w:val="21"/>
                <w:szCs w:val="21"/>
                <w:lang w:val="en-US" w:eastAsia="zh-CN"/>
              </w:rPr>
              <w:t>及差距</w:t>
            </w:r>
            <w:bookmarkStart w:id="0" w:name="_GoBack"/>
            <w:bookmarkEnd w:id="0"/>
            <w:r>
              <w:rPr>
                <w:rFonts w:hint="eastAsia" w:ascii="宋体" w:hAnsi="宋体" w:eastAsia="宋体"/>
                <w:b/>
                <w:bCs/>
                <w:sz w:val="21"/>
                <w:szCs w:val="21"/>
              </w:rPr>
              <w:t>（根据申请基本条件，逐项描述达标情况）</w:t>
            </w:r>
          </w:p>
        </w:tc>
        <w:tc>
          <w:tcPr>
            <w:tcW w:w="988" w:type="dxa"/>
            <w:vAlign w:val="center"/>
          </w:tcPr>
          <w:p>
            <w:pPr>
              <w:jc w:val="center"/>
              <w:rPr>
                <w:rFonts w:ascii="宋体" w:hAnsi="宋体" w:eastAsia="宋体"/>
                <w:b/>
                <w:bCs/>
                <w:sz w:val="21"/>
                <w:szCs w:val="21"/>
              </w:rPr>
            </w:pPr>
            <w:r>
              <w:rPr>
                <w:rFonts w:hint="eastAsia" w:ascii="宋体" w:hAnsi="宋体" w:eastAsia="宋体"/>
                <w:b/>
                <w:bCs/>
                <w:sz w:val="21"/>
                <w:szCs w:val="21"/>
              </w:rPr>
              <w:t>自审是否达标 （√）</w:t>
            </w:r>
          </w:p>
        </w:tc>
        <w:tc>
          <w:tcPr>
            <w:tcW w:w="3297" w:type="dxa"/>
            <w:vAlign w:val="center"/>
          </w:tcPr>
          <w:p>
            <w:pPr>
              <w:jc w:val="center"/>
              <w:rPr>
                <w:rFonts w:hint="eastAsia" w:ascii="宋体" w:hAnsi="宋体" w:eastAsia="宋体"/>
                <w:b/>
                <w:bCs/>
                <w:sz w:val="21"/>
                <w:szCs w:val="21"/>
              </w:rPr>
            </w:pPr>
            <w:r>
              <w:rPr>
                <w:rFonts w:hint="eastAsia" w:ascii="宋体" w:hAnsi="宋体" w:eastAsia="宋体"/>
                <w:b/>
                <w:bCs/>
                <w:sz w:val="21"/>
                <w:szCs w:val="21"/>
              </w:rPr>
              <w:t>拟采取措施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tcPr>
          <w:p>
            <w:pPr>
              <w:rPr>
                <w:rFonts w:ascii="宋体" w:hAnsi="宋体" w:eastAsia="宋体"/>
                <w:b/>
                <w:bCs/>
                <w:sz w:val="21"/>
                <w:szCs w:val="21"/>
              </w:rPr>
            </w:pPr>
            <w:r>
              <w:rPr>
                <w:rFonts w:ascii="宋体" w:hAnsi="宋体" w:eastAsia="宋体"/>
                <w:b/>
                <w:bCs/>
                <w:sz w:val="21"/>
                <w:szCs w:val="21"/>
              </w:rPr>
              <w:t>1.</w:t>
            </w:r>
            <w:r>
              <w:rPr>
                <w:rFonts w:hint="eastAsia" w:ascii="宋体" w:hAnsi="宋体" w:eastAsia="宋体"/>
                <w:b/>
                <w:bCs/>
                <w:sz w:val="21"/>
                <w:szCs w:val="21"/>
              </w:rPr>
              <w:t>专业</w:t>
            </w:r>
            <w:r>
              <w:rPr>
                <w:rFonts w:ascii="宋体" w:hAnsi="宋体" w:eastAsia="宋体"/>
                <w:b/>
                <w:bCs/>
                <w:sz w:val="21"/>
                <w:szCs w:val="21"/>
              </w:rPr>
              <w:t>特色</w:t>
            </w:r>
          </w:p>
        </w:tc>
        <w:tc>
          <w:tcPr>
            <w:tcW w:w="3372" w:type="dxa"/>
          </w:tcPr>
          <w:p>
            <w:pPr>
              <w:rPr>
                <w:rFonts w:ascii="宋体" w:hAnsi="宋体" w:eastAsia="宋体"/>
                <w:b/>
                <w:bCs/>
                <w:sz w:val="21"/>
                <w:szCs w:val="21"/>
              </w:rPr>
            </w:pPr>
            <w:r>
              <w:rPr>
                <w:rFonts w:ascii="宋体" w:hAnsi="宋体" w:eastAsia="宋体"/>
                <w:b/>
                <w:bCs/>
                <w:sz w:val="21"/>
                <w:szCs w:val="21"/>
              </w:rPr>
              <w:t>1.1</w:t>
            </w:r>
            <w:r>
              <w:rPr>
                <w:rFonts w:hint="eastAsia" w:ascii="宋体" w:hAnsi="宋体" w:eastAsia="宋体"/>
                <w:b/>
                <w:bCs/>
                <w:sz w:val="21"/>
                <w:szCs w:val="21"/>
              </w:rPr>
              <w:t>专业</w:t>
            </w:r>
            <w:r>
              <w:rPr>
                <w:rFonts w:ascii="宋体" w:hAnsi="宋体" w:eastAsia="宋体"/>
                <w:b/>
                <w:bCs/>
                <w:sz w:val="21"/>
                <w:szCs w:val="21"/>
              </w:rPr>
              <w:t>特色</w:t>
            </w:r>
          </w:p>
          <w:p>
            <w:pPr>
              <w:rPr>
                <w:rFonts w:ascii="宋体" w:hAnsi="宋体" w:eastAsia="宋体"/>
                <w:sz w:val="21"/>
                <w:szCs w:val="21"/>
              </w:rPr>
            </w:pPr>
            <w:r>
              <w:rPr>
                <w:rFonts w:hint="eastAsia" w:ascii="宋体" w:hAnsi="宋体" w:eastAsia="宋体"/>
                <w:sz w:val="21"/>
                <w:szCs w:val="21"/>
              </w:rPr>
              <w:t>审计硕士专业学位主要培养具有良好的政治素质和职业道德，系统掌握现代审计理论、审计专业知识和技能，能够创造性地从事审计工作的高层次、应用型审计专业人才。审计硕士专业学位培养的人才服务领域主要包括国家审计、内部审计、社会审计。申请单位应根据自身条件和发展定位，在国家审计、内部审计、社会审计等全部或部分方向上具有较强的特色与优势，符合审计事业和经济社会发展需求。申请单位既能为社会输送高层次、应用型的审计专业人才，也能为政府机关、企事业单位和各种社会组织提供审计相关的智力服务。申请单位需在理论经济学、应用经济学、工商管理、公共管理、法学、政治学、计算机科学等相关领域具有较强的学科基础，同时在审计相关学科专业本科和研究生培养方面具有较为丰富的经验，能够紧密跟踪审计理论与实践发展。与审计机关、企事业单位或社会审计组织之间具有较为固定的合作关系，形成稳定的审计实践基地。鼓励申请单位与审计实务部门联合培养审计硕士专业学位研究生。</w:t>
            </w:r>
          </w:p>
        </w:tc>
        <w:tc>
          <w:tcPr>
            <w:tcW w:w="3230" w:type="dxa"/>
          </w:tcPr>
          <w:p>
            <w:pPr>
              <w:ind w:left="100"/>
              <w:jc w:val="both"/>
              <w:rPr>
                <w:rFonts w:ascii="宋体" w:hAnsi="宋体" w:eastAsia="宋体"/>
                <w:b/>
                <w:bCs/>
                <w:w w:val="98"/>
                <w:sz w:val="21"/>
                <w:szCs w:val="21"/>
              </w:rPr>
            </w:pPr>
          </w:p>
        </w:tc>
        <w:tc>
          <w:tcPr>
            <w:tcW w:w="3119" w:type="dxa"/>
          </w:tcPr>
          <w:p>
            <w:pPr>
              <w:ind w:left="100"/>
              <w:jc w:val="both"/>
              <w:rPr>
                <w:rFonts w:ascii="宋体" w:hAnsi="宋体" w:eastAsia="宋体"/>
                <w:b/>
                <w:bCs/>
                <w:w w:val="98"/>
                <w:sz w:val="21"/>
                <w:szCs w:val="21"/>
              </w:rPr>
            </w:pPr>
          </w:p>
        </w:tc>
        <w:tc>
          <w:tcPr>
            <w:tcW w:w="98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29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师资</w:t>
            </w:r>
            <w:r>
              <w:rPr>
                <w:rFonts w:ascii="宋体" w:hAnsi="宋体" w:eastAsia="宋体"/>
                <w:b/>
                <w:bCs/>
                <w:sz w:val="21"/>
                <w:szCs w:val="21"/>
              </w:rPr>
              <w:t>队伍</w:t>
            </w:r>
          </w:p>
        </w:tc>
        <w:tc>
          <w:tcPr>
            <w:tcW w:w="3372" w:type="dxa"/>
          </w:tcPr>
          <w:p>
            <w:pPr>
              <w:rPr>
                <w:rFonts w:ascii="宋体" w:hAnsi="宋体" w:eastAsia="宋体"/>
                <w:b/>
                <w:bCs/>
                <w:sz w:val="21"/>
                <w:szCs w:val="21"/>
              </w:rPr>
            </w:pPr>
            <w:r>
              <w:rPr>
                <w:rFonts w:ascii="宋体" w:hAnsi="宋体" w:eastAsia="宋体"/>
                <w:b/>
                <w:bCs/>
                <w:sz w:val="21"/>
                <w:szCs w:val="21"/>
              </w:rPr>
              <w:t>2.2人员规模</w:t>
            </w:r>
            <w:r>
              <w:rPr>
                <w:rFonts w:ascii="宋体" w:hAnsi="宋体" w:eastAsia="宋体"/>
                <w:b/>
                <w:bCs/>
                <w:sz w:val="21"/>
                <w:szCs w:val="21"/>
              </w:rPr>
              <w:tab/>
            </w:r>
          </w:p>
          <w:p>
            <w:pPr>
              <w:rPr>
                <w:rFonts w:ascii="宋体" w:hAnsi="宋体" w:eastAsia="宋体"/>
                <w:sz w:val="21"/>
                <w:szCs w:val="21"/>
              </w:rPr>
            </w:pPr>
            <w:r>
              <w:rPr>
                <w:rFonts w:hint="eastAsia" w:ascii="宋体" w:hAnsi="宋体" w:eastAsia="宋体"/>
                <w:sz w:val="21"/>
                <w:szCs w:val="21"/>
              </w:rPr>
              <w:t>从事审计硕士专业学位研究生教育的专任教师不少于 20 人。来自审计实</w:t>
            </w:r>
          </w:p>
          <w:p>
            <w:pPr>
              <w:rPr>
                <w:rFonts w:ascii="宋体" w:hAnsi="宋体" w:eastAsia="宋体"/>
                <w:sz w:val="21"/>
                <w:szCs w:val="21"/>
              </w:rPr>
            </w:pPr>
            <w:r>
              <w:rPr>
                <w:rFonts w:hint="eastAsia" w:ascii="宋体" w:hAnsi="宋体" w:eastAsia="宋体"/>
                <w:sz w:val="21"/>
                <w:szCs w:val="21"/>
              </w:rPr>
              <w:t>务部门、具有丰富经验的兼职教师不少于 15 人。</w:t>
            </w:r>
          </w:p>
        </w:tc>
        <w:tc>
          <w:tcPr>
            <w:tcW w:w="3230" w:type="dxa"/>
          </w:tcPr>
          <w:p>
            <w:pPr>
              <w:ind w:left="100"/>
              <w:jc w:val="both"/>
              <w:rPr>
                <w:rFonts w:ascii="宋体" w:hAnsi="宋体" w:eastAsia="宋体"/>
                <w:b/>
                <w:bCs/>
                <w:w w:val="98"/>
                <w:sz w:val="21"/>
                <w:szCs w:val="21"/>
              </w:rPr>
            </w:pPr>
          </w:p>
        </w:tc>
        <w:tc>
          <w:tcPr>
            <w:tcW w:w="3119" w:type="dxa"/>
          </w:tcPr>
          <w:p>
            <w:pPr>
              <w:ind w:left="100"/>
              <w:jc w:val="both"/>
              <w:rPr>
                <w:rFonts w:ascii="宋体" w:hAnsi="宋体" w:eastAsia="宋体"/>
                <w:b/>
                <w:bCs/>
                <w:w w:val="98"/>
                <w:sz w:val="21"/>
                <w:szCs w:val="21"/>
              </w:rPr>
            </w:pPr>
          </w:p>
        </w:tc>
        <w:tc>
          <w:tcPr>
            <w:tcW w:w="98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29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372" w:type="dxa"/>
          </w:tcPr>
          <w:p>
            <w:pPr>
              <w:rPr>
                <w:rFonts w:ascii="宋体" w:hAnsi="宋体" w:eastAsia="宋体"/>
                <w:b/>
                <w:bCs/>
                <w:sz w:val="21"/>
                <w:szCs w:val="21"/>
              </w:rPr>
            </w:pPr>
            <w:r>
              <w:rPr>
                <w:rFonts w:ascii="宋体" w:hAnsi="宋体" w:eastAsia="宋体"/>
                <w:b/>
                <w:bCs/>
                <w:sz w:val="21"/>
                <w:szCs w:val="21"/>
              </w:rPr>
              <w:t>2.3人员结构</w:t>
            </w:r>
          </w:p>
          <w:p>
            <w:pPr>
              <w:rPr>
                <w:rFonts w:ascii="宋体" w:hAnsi="宋体" w:eastAsia="宋体"/>
                <w:sz w:val="21"/>
                <w:szCs w:val="21"/>
              </w:rPr>
            </w:pPr>
            <w:r>
              <w:rPr>
                <w:rFonts w:hint="eastAsia" w:ascii="宋体" w:hAnsi="宋体" w:eastAsia="宋体"/>
                <w:sz w:val="21"/>
                <w:szCs w:val="21"/>
              </w:rPr>
              <w:t>专任教师老中青结合，学科知识结构与学缘结构合理。专任教师中，副高  以上职称的比例不低于 70%，具有博士学位的比例不低于 70%；具有审计、管理实务经验的专任教师（如具有 2 年以上在审计部门或审计相关部门的工作经历，或主持过与审计相关的实务课题、承担审计相关案例开发等）比例不低于 60%；讲授核心课程的专任教师中具有相关专业的职业资格或审计专业技术资格的教师比例不低于 20%。兼职教师中具有相关专业的专业技术资格或职业资格的比例不低于60%。</w:t>
            </w:r>
            <w:r>
              <w:rPr>
                <w:rFonts w:ascii="宋体" w:hAnsi="宋体" w:eastAsia="宋体"/>
                <w:sz w:val="21"/>
                <w:szCs w:val="21"/>
              </w:rPr>
              <w:tab/>
            </w:r>
          </w:p>
        </w:tc>
        <w:tc>
          <w:tcPr>
            <w:tcW w:w="3230" w:type="dxa"/>
          </w:tcPr>
          <w:p>
            <w:pPr>
              <w:ind w:left="100"/>
              <w:jc w:val="both"/>
              <w:rPr>
                <w:rFonts w:ascii="宋体" w:hAnsi="宋体" w:eastAsia="宋体"/>
                <w:b/>
                <w:bCs/>
                <w:w w:val="98"/>
                <w:sz w:val="21"/>
                <w:szCs w:val="21"/>
              </w:rPr>
            </w:pPr>
          </w:p>
        </w:tc>
        <w:tc>
          <w:tcPr>
            <w:tcW w:w="3119" w:type="dxa"/>
          </w:tcPr>
          <w:p>
            <w:pPr>
              <w:ind w:left="100"/>
              <w:jc w:val="both"/>
              <w:rPr>
                <w:rFonts w:ascii="宋体" w:hAnsi="宋体" w:eastAsia="宋体"/>
                <w:b/>
                <w:bCs/>
                <w:w w:val="98"/>
                <w:sz w:val="21"/>
                <w:szCs w:val="21"/>
              </w:rPr>
            </w:pPr>
          </w:p>
        </w:tc>
        <w:tc>
          <w:tcPr>
            <w:tcW w:w="98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29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372" w:type="dxa"/>
          </w:tcPr>
          <w:p>
            <w:pPr>
              <w:rPr>
                <w:rFonts w:ascii="宋体" w:hAnsi="宋体" w:eastAsia="宋体"/>
                <w:b/>
                <w:bCs/>
                <w:sz w:val="21"/>
                <w:szCs w:val="21"/>
              </w:rPr>
            </w:pPr>
            <w:r>
              <w:rPr>
                <w:rFonts w:ascii="宋体" w:hAnsi="宋体" w:eastAsia="宋体"/>
                <w:b/>
                <w:bCs/>
                <w:sz w:val="21"/>
                <w:szCs w:val="21"/>
              </w:rPr>
              <w:t>2.4</w:t>
            </w:r>
            <w:r>
              <w:rPr>
                <w:rFonts w:hint="eastAsia" w:ascii="宋体" w:hAnsi="宋体" w:eastAsia="宋体"/>
                <w:b/>
                <w:bCs/>
                <w:sz w:val="21"/>
                <w:szCs w:val="21"/>
              </w:rPr>
              <w:t>骨干教师</w:t>
            </w:r>
          </w:p>
          <w:p>
            <w:pPr>
              <w:rPr>
                <w:rFonts w:ascii="宋体" w:hAnsi="宋体" w:eastAsia="宋体"/>
                <w:sz w:val="21"/>
                <w:szCs w:val="21"/>
              </w:rPr>
            </w:pPr>
            <w:r>
              <w:rPr>
                <w:rFonts w:hint="eastAsia" w:ascii="宋体" w:hAnsi="宋体" w:eastAsia="宋体"/>
                <w:sz w:val="21"/>
                <w:szCs w:val="21"/>
              </w:rPr>
              <w:t>申报单位至少有 10 名教学经验丰富的审计、会计专业骨干教师。骨干教</w:t>
            </w:r>
          </w:p>
          <w:p>
            <w:pPr>
              <w:rPr>
                <w:rFonts w:ascii="宋体" w:hAnsi="宋体" w:eastAsia="宋体"/>
                <w:sz w:val="21"/>
                <w:szCs w:val="21"/>
              </w:rPr>
            </w:pPr>
            <w:r>
              <w:rPr>
                <w:rFonts w:hint="eastAsia" w:ascii="宋体" w:hAnsi="宋体" w:eastAsia="宋体"/>
                <w:sz w:val="21"/>
                <w:szCs w:val="21"/>
              </w:rPr>
              <w:t>师队伍中，至少有 1 名在省级以上审计、会计等相关学会（协会）担任常务理事以上职务。近 5 年，骨干教师主持省部级以上科研课题人均不少于 1 项，或主持审计实务类课题（包括与审计实务相关的专题研究、案例开发、咨询报告等）人均不少于 1 项；在本学科发表高水平学术成果不少于 3 项；在相近学科（专业学位类别）担任过硕士研究生导师并实际指导研究生的骨干教师不少于 5 名。</w:t>
            </w:r>
          </w:p>
        </w:tc>
        <w:tc>
          <w:tcPr>
            <w:tcW w:w="3230" w:type="dxa"/>
          </w:tcPr>
          <w:p>
            <w:pPr>
              <w:ind w:left="100"/>
              <w:jc w:val="both"/>
              <w:rPr>
                <w:rFonts w:ascii="宋体" w:hAnsi="宋体" w:eastAsia="宋体"/>
                <w:b/>
                <w:bCs/>
                <w:w w:val="98"/>
                <w:sz w:val="21"/>
                <w:szCs w:val="21"/>
              </w:rPr>
            </w:pPr>
          </w:p>
        </w:tc>
        <w:tc>
          <w:tcPr>
            <w:tcW w:w="3119" w:type="dxa"/>
          </w:tcPr>
          <w:p>
            <w:pPr>
              <w:ind w:left="100"/>
              <w:jc w:val="both"/>
              <w:rPr>
                <w:rFonts w:ascii="宋体" w:hAnsi="宋体" w:eastAsia="宋体"/>
                <w:b/>
                <w:bCs/>
                <w:w w:val="98"/>
                <w:sz w:val="21"/>
                <w:szCs w:val="21"/>
              </w:rPr>
            </w:pPr>
          </w:p>
        </w:tc>
        <w:tc>
          <w:tcPr>
            <w:tcW w:w="98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29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3.人才培养</w:t>
            </w:r>
          </w:p>
        </w:tc>
        <w:tc>
          <w:tcPr>
            <w:tcW w:w="3372" w:type="dxa"/>
          </w:tcPr>
          <w:p>
            <w:pPr>
              <w:rPr>
                <w:rFonts w:ascii="宋体" w:hAnsi="宋体" w:eastAsia="宋体"/>
                <w:b/>
                <w:bCs/>
                <w:sz w:val="21"/>
                <w:szCs w:val="21"/>
              </w:rPr>
            </w:pPr>
            <w:r>
              <w:rPr>
                <w:rFonts w:ascii="宋体" w:hAnsi="宋体" w:eastAsia="宋体"/>
                <w:b/>
                <w:bCs/>
                <w:sz w:val="21"/>
                <w:szCs w:val="21"/>
              </w:rPr>
              <w:t>3.5课程与教学</w:t>
            </w:r>
          </w:p>
          <w:p>
            <w:pPr>
              <w:rPr>
                <w:rFonts w:ascii="宋体" w:hAnsi="宋体" w:eastAsia="宋体"/>
                <w:sz w:val="21"/>
                <w:szCs w:val="21"/>
              </w:rPr>
            </w:pPr>
            <w:r>
              <w:rPr>
                <w:rFonts w:hint="eastAsia" w:ascii="宋体" w:hAnsi="宋体" w:eastAsia="宋体"/>
                <w:sz w:val="21"/>
                <w:szCs w:val="21"/>
              </w:rPr>
              <w:t>已培养审计学、会计学相关专业的本科生 5 年以上。能够与审计实务部门共同研究、制定并实施培养方案，以职业发展需求为目标，以提高创新能力和实践能力为核心开展教学。近 5 年，至少有 1 门专业必修课程获校级以上教学成果奖。在必修课程和专业方向课程方面，能满足全国审计专业学位研究生教育指导委员会提出的课程设置要求。能采用课程讲授、案例研讨和专业实习等多种教学方式开展教学。每门核心课程及重要必修课程至少须配备 1 名具有丰富实践经验的专任教师授课。</w:t>
            </w:r>
          </w:p>
        </w:tc>
        <w:tc>
          <w:tcPr>
            <w:tcW w:w="3230" w:type="dxa"/>
          </w:tcPr>
          <w:p>
            <w:pPr>
              <w:ind w:left="100"/>
              <w:jc w:val="both"/>
              <w:rPr>
                <w:rFonts w:ascii="宋体" w:hAnsi="宋体" w:eastAsia="宋体"/>
                <w:b/>
                <w:bCs/>
                <w:w w:val="98"/>
                <w:sz w:val="21"/>
                <w:szCs w:val="21"/>
              </w:rPr>
            </w:pPr>
          </w:p>
        </w:tc>
        <w:tc>
          <w:tcPr>
            <w:tcW w:w="3119" w:type="dxa"/>
          </w:tcPr>
          <w:p>
            <w:pPr>
              <w:ind w:left="100"/>
              <w:jc w:val="both"/>
              <w:rPr>
                <w:rFonts w:ascii="宋体" w:hAnsi="宋体" w:eastAsia="宋体"/>
                <w:b/>
                <w:bCs/>
                <w:w w:val="98"/>
                <w:sz w:val="21"/>
                <w:szCs w:val="21"/>
              </w:rPr>
            </w:pPr>
          </w:p>
        </w:tc>
        <w:tc>
          <w:tcPr>
            <w:tcW w:w="98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29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372" w:type="dxa"/>
          </w:tcPr>
          <w:p>
            <w:pPr>
              <w:rPr>
                <w:rFonts w:ascii="宋体" w:hAnsi="宋体" w:eastAsia="宋体"/>
                <w:b/>
                <w:bCs/>
                <w:sz w:val="21"/>
                <w:szCs w:val="21"/>
              </w:rPr>
            </w:pPr>
            <w:r>
              <w:rPr>
                <w:rFonts w:ascii="宋体" w:hAnsi="宋体" w:eastAsia="宋体"/>
                <w:b/>
                <w:bCs/>
                <w:sz w:val="21"/>
                <w:szCs w:val="21"/>
              </w:rPr>
              <w:t>3.6培养质量</w:t>
            </w:r>
          </w:p>
          <w:p>
            <w:pPr>
              <w:rPr>
                <w:rFonts w:ascii="宋体" w:hAnsi="宋体" w:eastAsia="宋体"/>
                <w:sz w:val="21"/>
                <w:szCs w:val="21"/>
              </w:rPr>
            </w:pPr>
            <w:r>
              <w:rPr>
                <w:rFonts w:hint="eastAsia" w:ascii="宋体" w:hAnsi="宋体" w:eastAsia="宋体"/>
                <w:sz w:val="21"/>
                <w:szCs w:val="21"/>
              </w:rPr>
              <w:t>近 5 年，本专业本科生或相近学科研究生人才培养质量高，就业率高，毕业生的职业道德、业务能力和工作业绩得到社会肯定，每年有一定比例的毕业生在政府部门、   企事业单位或社会组织从事与审计相关的工作。</w:t>
            </w:r>
          </w:p>
        </w:tc>
        <w:tc>
          <w:tcPr>
            <w:tcW w:w="3230" w:type="dxa"/>
          </w:tcPr>
          <w:p>
            <w:pPr>
              <w:ind w:left="100"/>
              <w:jc w:val="both"/>
              <w:rPr>
                <w:rFonts w:ascii="宋体" w:hAnsi="宋体" w:eastAsia="宋体"/>
                <w:b/>
                <w:bCs/>
                <w:w w:val="98"/>
                <w:sz w:val="21"/>
                <w:szCs w:val="21"/>
              </w:rPr>
            </w:pPr>
          </w:p>
        </w:tc>
        <w:tc>
          <w:tcPr>
            <w:tcW w:w="3119" w:type="dxa"/>
          </w:tcPr>
          <w:p>
            <w:pPr>
              <w:ind w:left="100"/>
              <w:jc w:val="both"/>
              <w:rPr>
                <w:rFonts w:ascii="宋体" w:hAnsi="宋体" w:eastAsia="宋体"/>
                <w:b/>
                <w:bCs/>
                <w:w w:val="98"/>
                <w:sz w:val="21"/>
                <w:szCs w:val="21"/>
              </w:rPr>
            </w:pPr>
          </w:p>
        </w:tc>
        <w:tc>
          <w:tcPr>
            <w:tcW w:w="98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29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4.培养环境与条件</w:t>
            </w:r>
          </w:p>
        </w:tc>
        <w:tc>
          <w:tcPr>
            <w:tcW w:w="3372" w:type="dxa"/>
          </w:tcPr>
          <w:p>
            <w:pPr>
              <w:rPr>
                <w:rFonts w:ascii="宋体" w:hAnsi="宋体" w:eastAsia="宋体"/>
                <w:b/>
                <w:bCs/>
                <w:sz w:val="21"/>
                <w:szCs w:val="21"/>
              </w:rPr>
            </w:pPr>
            <w:r>
              <w:rPr>
                <w:rFonts w:ascii="宋体" w:hAnsi="宋体" w:eastAsia="宋体"/>
                <w:b/>
                <w:bCs/>
                <w:sz w:val="21"/>
                <w:szCs w:val="21"/>
              </w:rPr>
              <w:t xml:space="preserve">4.7 </w:t>
            </w:r>
            <w:r>
              <w:rPr>
                <w:rFonts w:hint="eastAsia" w:ascii="宋体" w:hAnsi="宋体" w:eastAsia="宋体"/>
                <w:b/>
                <w:bCs/>
                <w:sz w:val="21"/>
                <w:szCs w:val="21"/>
              </w:rPr>
              <w:t>科研水平</w:t>
            </w:r>
          </w:p>
          <w:p>
            <w:pPr>
              <w:rPr>
                <w:rFonts w:ascii="宋体" w:hAnsi="宋体" w:eastAsia="宋体"/>
                <w:sz w:val="21"/>
                <w:szCs w:val="21"/>
              </w:rPr>
            </w:pPr>
            <w:r>
              <w:rPr>
                <w:rFonts w:hint="eastAsia" w:ascii="宋体" w:hAnsi="宋体" w:eastAsia="宋体"/>
                <w:sz w:val="21"/>
                <w:szCs w:val="21"/>
              </w:rPr>
              <w:t>审计学科及相关学科的建设水平高，学科团队科研任务饱满，成果较丰硕。近 5 年，承担省部级以上科研项目或相关实务类课题不少于 5 项（其中，国家级科研项目至少 1 项）；开发的教学案例师均不少于 1 项；师均科研经费不少于 1 万元/年；师均科研成果（含发表学术论文、决策咨询报告、案例分析报告等）不少于 3 篇。每名专任教师近 5 年内应至少参加 2 次校外组织的审计教育相关培训、专业研修、考察交流和出国进修等活动。</w:t>
            </w:r>
          </w:p>
        </w:tc>
        <w:tc>
          <w:tcPr>
            <w:tcW w:w="3230" w:type="dxa"/>
          </w:tcPr>
          <w:p>
            <w:pPr>
              <w:ind w:left="100"/>
              <w:jc w:val="both"/>
              <w:rPr>
                <w:rFonts w:ascii="宋体" w:hAnsi="宋体" w:eastAsia="宋体"/>
                <w:b/>
                <w:bCs/>
                <w:w w:val="98"/>
                <w:sz w:val="21"/>
                <w:szCs w:val="21"/>
              </w:rPr>
            </w:pPr>
          </w:p>
        </w:tc>
        <w:tc>
          <w:tcPr>
            <w:tcW w:w="3119" w:type="dxa"/>
          </w:tcPr>
          <w:p>
            <w:pPr>
              <w:ind w:left="100"/>
              <w:jc w:val="both"/>
              <w:rPr>
                <w:rFonts w:ascii="宋体" w:hAnsi="宋体" w:eastAsia="宋体"/>
                <w:b/>
                <w:bCs/>
                <w:w w:val="98"/>
                <w:sz w:val="21"/>
                <w:szCs w:val="21"/>
              </w:rPr>
            </w:pPr>
          </w:p>
        </w:tc>
        <w:tc>
          <w:tcPr>
            <w:tcW w:w="98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29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sz w:val="21"/>
                <w:szCs w:val="21"/>
              </w:rPr>
            </w:pPr>
          </w:p>
        </w:tc>
        <w:tc>
          <w:tcPr>
            <w:tcW w:w="3372" w:type="dxa"/>
          </w:tcPr>
          <w:p>
            <w:pPr>
              <w:rPr>
                <w:rFonts w:ascii="宋体" w:hAnsi="宋体" w:eastAsia="宋体"/>
                <w:b/>
                <w:bCs/>
                <w:sz w:val="21"/>
                <w:szCs w:val="21"/>
              </w:rPr>
            </w:pPr>
            <w:r>
              <w:rPr>
                <w:rFonts w:ascii="宋体" w:hAnsi="宋体" w:eastAsia="宋体"/>
                <w:b/>
                <w:bCs/>
                <w:sz w:val="21"/>
                <w:szCs w:val="21"/>
              </w:rPr>
              <w:t>4.8</w:t>
            </w:r>
            <w:r>
              <w:rPr>
                <w:rFonts w:hint="eastAsia" w:ascii="宋体" w:hAnsi="宋体" w:eastAsia="宋体"/>
                <w:b/>
                <w:bCs/>
                <w:sz w:val="21"/>
                <w:szCs w:val="21"/>
              </w:rPr>
              <w:t>实践教学</w:t>
            </w:r>
          </w:p>
          <w:p>
            <w:pPr>
              <w:rPr>
                <w:rFonts w:ascii="宋体" w:hAnsi="宋体" w:eastAsia="宋体"/>
                <w:sz w:val="21"/>
                <w:szCs w:val="21"/>
              </w:rPr>
            </w:pPr>
            <w:r>
              <w:rPr>
                <w:rFonts w:hint="eastAsia" w:ascii="宋体" w:hAnsi="宋体" w:eastAsia="宋体"/>
                <w:sz w:val="21"/>
                <w:szCs w:val="21"/>
              </w:rPr>
              <w:t>专业核心课和方向选修课中采用案例教学的课程比例不少于40%；制定科学合理的实践教学方案，能够保障审计硕士专业学位研究生开展实践教学，确保实践教学质量；与实践部门联合建立审计硕士专业学位研究生实践基地，并组织研究生进行专业实习，实习天数不低于 90 天/人；每门审计实务类课程至少须有 1 位来自实务部门的专家参与授课， 授课学时不低于该课程总学时的 15%；有审计相关行业专家参与审计硕士专业学位研究生培养工作，联合指导学位论文写作。</w:t>
            </w:r>
          </w:p>
        </w:tc>
        <w:tc>
          <w:tcPr>
            <w:tcW w:w="3230" w:type="dxa"/>
          </w:tcPr>
          <w:p>
            <w:pPr>
              <w:spacing w:line="322" w:lineRule="auto"/>
              <w:rPr>
                <w:rFonts w:ascii="宋体" w:hAnsi="宋体" w:eastAsia="宋体"/>
                <w:b/>
                <w:bCs/>
                <w:sz w:val="21"/>
                <w:szCs w:val="21"/>
              </w:rPr>
            </w:pPr>
          </w:p>
        </w:tc>
        <w:tc>
          <w:tcPr>
            <w:tcW w:w="3119" w:type="dxa"/>
          </w:tcPr>
          <w:p>
            <w:pPr>
              <w:spacing w:line="322" w:lineRule="auto"/>
              <w:rPr>
                <w:rFonts w:ascii="宋体" w:hAnsi="宋体" w:eastAsia="宋体"/>
                <w:b/>
                <w:bCs/>
                <w:sz w:val="21"/>
                <w:szCs w:val="21"/>
              </w:rPr>
            </w:pPr>
          </w:p>
        </w:tc>
        <w:tc>
          <w:tcPr>
            <w:tcW w:w="98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spacing w:line="322" w:lineRule="auto"/>
              <w:jc w:val="center"/>
              <w:rPr>
                <w:rFonts w:ascii="宋体" w:hAnsi="宋体" w:eastAsia="宋体"/>
                <w:b/>
                <w:bCs/>
                <w:w w:val="98"/>
                <w:sz w:val="21"/>
                <w:szCs w:val="21"/>
              </w:rPr>
            </w:pPr>
            <w:r>
              <w:rPr>
                <w:rFonts w:hint="eastAsia" w:ascii="宋体" w:hAnsi="宋体" w:eastAsia="宋体"/>
                <w:b/>
                <w:bCs/>
                <w:w w:val="98"/>
                <w:sz w:val="21"/>
                <w:szCs w:val="21"/>
              </w:rPr>
              <w:t>□否</w:t>
            </w:r>
          </w:p>
        </w:tc>
        <w:tc>
          <w:tcPr>
            <w:tcW w:w="3297"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sz w:val="21"/>
                <w:szCs w:val="21"/>
              </w:rPr>
            </w:pPr>
          </w:p>
        </w:tc>
        <w:tc>
          <w:tcPr>
            <w:tcW w:w="3372" w:type="dxa"/>
          </w:tcPr>
          <w:p>
            <w:pPr>
              <w:rPr>
                <w:rFonts w:ascii="宋体" w:hAnsi="宋体" w:eastAsia="宋体"/>
                <w:b/>
                <w:bCs/>
                <w:sz w:val="21"/>
                <w:szCs w:val="21"/>
              </w:rPr>
            </w:pPr>
            <w:r>
              <w:rPr>
                <w:rFonts w:ascii="宋体" w:hAnsi="宋体" w:eastAsia="宋体"/>
                <w:b/>
                <w:bCs/>
                <w:sz w:val="21"/>
                <w:szCs w:val="21"/>
              </w:rPr>
              <w:t xml:space="preserve">4.9支撑条件 </w:t>
            </w:r>
          </w:p>
          <w:p>
            <w:pPr>
              <w:rPr>
                <w:rFonts w:ascii="宋体" w:hAnsi="宋体" w:eastAsia="宋体"/>
                <w:sz w:val="21"/>
                <w:szCs w:val="21"/>
              </w:rPr>
            </w:pPr>
            <w:r>
              <w:rPr>
                <w:rFonts w:hint="eastAsia" w:ascii="宋体" w:hAnsi="宋体" w:eastAsia="宋体"/>
                <w:sz w:val="21"/>
                <w:szCs w:val="21"/>
              </w:rPr>
              <w:t>至少拥有 2 个用于审计硕士专业学位研究生培养的实验、实训平台；建立审计相关专业的案例库，案例库应涵盖专业课程教学所需内容；校、院（系）两级审计及相关领域国内外图书文献资料满足教学需求。具有开展研究生创新创业教育的条件和机制。学风建设制度完善，实施有力。研究生培养管理制度完善，奖助体系完备，具有专门的管理机构，并配备数量充足的管理人员。</w:t>
            </w:r>
          </w:p>
        </w:tc>
        <w:tc>
          <w:tcPr>
            <w:tcW w:w="3230" w:type="dxa"/>
          </w:tcPr>
          <w:p>
            <w:pPr>
              <w:ind w:left="100"/>
              <w:jc w:val="both"/>
              <w:rPr>
                <w:rFonts w:ascii="宋体" w:hAnsi="宋体" w:eastAsia="宋体"/>
                <w:b/>
                <w:bCs/>
                <w:w w:val="98"/>
                <w:sz w:val="21"/>
                <w:szCs w:val="21"/>
              </w:rPr>
            </w:pPr>
          </w:p>
        </w:tc>
        <w:tc>
          <w:tcPr>
            <w:tcW w:w="3119" w:type="dxa"/>
          </w:tcPr>
          <w:p>
            <w:pPr>
              <w:ind w:left="100"/>
              <w:jc w:val="both"/>
              <w:rPr>
                <w:rFonts w:ascii="宋体" w:hAnsi="宋体" w:eastAsia="宋体"/>
                <w:b/>
                <w:bCs/>
                <w:w w:val="98"/>
                <w:sz w:val="21"/>
                <w:szCs w:val="21"/>
              </w:rPr>
            </w:pPr>
          </w:p>
        </w:tc>
        <w:tc>
          <w:tcPr>
            <w:tcW w:w="98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297" w:type="dxa"/>
          </w:tcPr>
          <w:p>
            <w:pPr>
              <w:rPr>
                <w:rFonts w:hint="eastAsia" w:ascii="宋体" w:hAnsi="宋体" w:eastAsia="宋体"/>
                <w:b/>
                <w:bCs/>
                <w:w w:val="98"/>
                <w:sz w:val="21"/>
                <w:szCs w:val="21"/>
              </w:rPr>
            </w:pPr>
          </w:p>
        </w:tc>
      </w:tr>
    </w:tbl>
    <w:p>
      <w:pPr>
        <w:rPr>
          <w:rFonts w:ascii="宋体" w:hAnsi="宋体" w:eastAsia="宋体"/>
        </w:rPr>
      </w:pPr>
    </w:p>
    <w:sectPr>
      <w:footerReference r:id="rId3" w:type="default"/>
      <w:pgSz w:w="16838" w:h="11906" w:orient="landscape"/>
      <w:pgMar w:top="1418" w:right="1134" w:bottom="1418"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6374160"/>
    </w:sdtPr>
    <w:sdtEndPr>
      <w:rPr>
        <w:rFonts w:ascii="Times New Roman" w:hAnsi="Times New Roman" w:cs="Times New Roman"/>
      </w:rPr>
    </w:sdtEndPr>
    <w:sdtContent>
      <w:p>
        <w:pPr>
          <w:pStyle w:val="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4</w:t>
        </w:r>
        <w:r>
          <w:rPr>
            <w:rFonts w:ascii="Times New Roman" w:hAnsi="Times New Roman" w:cs="Times New Roma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mZDMwZTI3MDg0NGJkNzdiMTg5ZDIxMzk1MDU3ZjIifQ=="/>
  </w:docVars>
  <w:rsids>
    <w:rsidRoot w:val="008D6138"/>
    <w:rsid w:val="000F5217"/>
    <w:rsid w:val="001741F4"/>
    <w:rsid w:val="0025310E"/>
    <w:rsid w:val="00362B60"/>
    <w:rsid w:val="003A5A31"/>
    <w:rsid w:val="00471D42"/>
    <w:rsid w:val="00490FBA"/>
    <w:rsid w:val="00544EEF"/>
    <w:rsid w:val="00552E2A"/>
    <w:rsid w:val="00594EA1"/>
    <w:rsid w:val="005B4397"/>
    <w:rsid w:val="005C3583"/>
    <w:rsid w:val="005D7EC1"/>
    <w:rsid w:val="006B3148"/>
    <w:rsid w:val="006F51EF"/>
    <w:rsid w:val="0072644B"/>
    <w:rsid w:val="00817BE4"/>
    <w:rsid w:val="008656FD"/>
    <w:rsid w:val="008D6138"/>
    <w:rsid w:val="008E6401"/>
    <w:rsid w:val="008F6B51"/>
    <w:rsid w:val="0092156B"/>
    <w:rsid w:val="009609C9"/>
    <w:rsid w:val="009B13B9"/>
    <w:rsid w:val="00A57430"/>
    <w:rsid w:val="00BB49E5"/>
    <w:rsid w:val="00BC2C64"/>
    <w:rsid w:val="00C145C2"/>
    <w:rsid w:val="00C20324"/>
    <w:rsid w:val="00C53AA6"/>
    <w:rsid w:val="00CB5AD7"/>
    <w:rsid w:val="00CD10B2"/>
    <w:rsid w:val="00CD7A9D"/>
    <w:rsid w:val="00DF2B8A"/>
    <w:rsid w:val="00E8626F"/>
    <w:rsid w:val="00ED016E"/>
    <w:rsid w:val="00F17718"/>
    <w:rsid w:val="15305968"/>
    <w:rsid w:val="23D72C8B"/>
    <w:rsid w:val="26EE5D70"/>
    <w:rsid w:val="45C67078"/>
    <w:rsid w:val="5CB41056"/>
    <w:rsid w:val="6D624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2"/>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
    <w:qFormat/>
    <w:uiPriority w:val="1"/>
    <w:pPr>
      <w:widowControl w:val="0"/>
      <w:autoSpaceDE w:val="0"/>
      <w:autoSpaceDN w:val="0"/>
      <w:ind w:left="104"/>
    </w:pPr>
    <w:rPr>
      <w:rFonts w:ascii="宋体" w:hAnsi="宋体" w:eastAsia="宋体" w:cs="宋体"/>
      <w:sz w:val="21"/>
      <w:szCs w:val="21"/>
      <w:lang w:eastAsia="en-US"/>
    </w:r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qFormat/>
    <w:uiPriority w:val="99"/>
    <w:pPr>
      <w:widowControl w:val="0"/>
      <w:tabs>
        <w:tab w:val="center" w:pos="4153"/>
        <w:tab w:val="right" w:pos="8306"/>
      </w:tabs>
      <w:snapToGrid w:val="0"/>
    </w:pPr>
    <w:rPr>
      <w:rFonts w:asciiTheme="minorHAnsi" w:hAnsiTheme="minorHAnsi" w:cstheme="minorBidi"/>
      <w:kern w:val="2"/>
      <w:sz w:val="18"/>
      <w:szCs w:val="18"/>
    </w:rPr>
  </w:style>
  <w:style w:type="paragraph" w:styleId="5">
    <w:name w:val="header"/>
    <w:basedOn w:val="1"/>
    <w:link w:val="8"/>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cstheme="minorBidi"/>
      <w:kern w:val="2"/>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正文文本 字符"/>
    <w:basedOn w:val="7"/>
    <w:link w:val="2"/>
    <w:qFormat/>
    <w:uiPriority w:val="1"/>
    <w:rPr>
      <w:rFonts w:ascii="宋体" w:hAnsi="宋体" w:eastAsia="宋体" w:cs="宋体"/>
      <w:sz w:val="21"/>
      <w:szCs w:val="21"/>
      <w:lang w:eastAsia="en-US"/>
    </w:rPr>
  </w:style>
  <w:style w:type="paragraph" w:styleId="11">
    <w:name w:val="List Paragraph"/>
    <w:basedOn w:val="1"/>
    <w:qFormat/>
    <w:uiPriority w:val="1"/>
    <w:pPr>
      <w:widowControl w:val="0"/>
      <w:autoSpaceDE w:val="0"/>
      <w:autoSpaceDN w:val="0"/>
      <w:ind w:left="104" w:firstLine="420"/>
      <w:jc w:val="both"/>
    </w:pPr>
    <w:rPr>
      <w:rFonts w:ascii="宋体" w:hAnsi="宋体" w:eastAsia="宋体" w:cs="宋体"/>
      <w:lang w:eastAsia="en-US"/>
    </w:rPr>
  </w:style>
  <w:style w:type="character" w:customStyle="1" w:styleId="12">
    <w:name w:val="批注框文本 字符"/>
    <w:basedOn w:val="7"/>
    <w:link w:val="3"/>
    <w:semiHidden/>
    <w:qFormat/>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1955</Words>
  <Characters>2001</Characters>
  <Lines>15</Lines>
  <Paragraphs>4</Paragraphs>
  <TotalTime>0</TotalTime>
  <ScaleCrop>false</ScaleCrop>
  <LinksUpToDate>false</LinksUpToDate>
  <CharactersWithSpaces>2098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2020-10-12T12:59:00Z</dcterms:created>
  <dc:creator>温 超东</dc:creator>
  <cp:lastModifiedBy>hbue</cp:lastModifiedBy>
  <dcterms:modified xsi:type="dcterms:W3CDTF">2022-06-21T08:59:05Z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3378DBB1A4214BA2840F4D319A99E6AA</vt:lpwstr>
  </property>
</Properties>
</file>