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宋体" w:hAnsi="宋体" w:eastAsia="黑体"/>
          <w:b/>
          <w:bCs/>
          <w:sz w:val="44"/>
          <w:szCs w:val="44"/>
          <w:lang w:val="en-US" w:eastAsia="zh-CN"/>
        </w:rPr>
      </w:pPr>
      <w:r>
        <w:rPr>
          <w:rFonts w:ascii="黑体" w:hAnsi="黑体" w:eastAsia="黑体"/>
          <w:b/>
          <w:bCs/>
          <w:sz w:val="32"/>
          <w:szCs w:val="32"/>
        </w:rPr>
        <w:t>申请新增</w:t>
      </w:r>
      <w:r>
        <w:rPr>
          <w:rFonts w:hint="eastAsia" w:ascii="黑体" w:hAnsi="黑体" w:eastAsia="黑体"/>
          <w:b/>
          <w:bCs/>
          <w:sz w:val="32"/>
          <w:szCs w:val="32"/>
        </w:rPr>
        <w:t>保险硕</w:t>
      </w:r>
      <w:r>
        <w:rPr>
          <w:rFonts w:ascii="黑体" w:hAnsi="黑体" w:eastAsia="黑体"/>
          <w:b/>
          <w:bCs/>
          <w:sz w:val="32"/>
          <w:szCs w:val="32"/>
        </w:rPr>
        <w:t>士</w:t>
      </w:r>
      <w:r>
        <w:rPr>
          <w:rFonts w:hint="eastAsia" w:ascii="黑体" w:hAnsi="黑体" w:eastAsia="黑体"/>
          <w:b/>
          <w:bCs/>
          <w:sz w:val="32"/>
          <w:szCs w:val="32"/>
        </w:rPr>
        <w:t>专业</w:t>
      </w:r>
      <w:r>
        <w:rPr>
          <w:rFonts w:ascii="黑体" w:hAnsi="黑体" w:eastAsia="黑体"/>
          <w:b/>
          <w:bCs/>
          <w:sz w:val="32"/>
          <w:szCs w:val="32"/>
        </w:rPr>
        <w:t>学位授权点基本条件</w:t>
      </w:r>
      <w:r>
        <w:rPr>
          <w:rFonts w:hint="eastAsia" w:ascii="黑体" w:hAnsi="黑体" w:eastAsia="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学位点代码：0255</w:t>
      </w:r>
      <w:r>
        <w:rPr>
          <w:rFonts w:ascii="宋体" w:hAnsi="宋体" w:eastAsia="宋体"/>
          <w:b/>
          <w:bCs/>
          <w:sz w:val="24"/>
          <w:szCs w:val="24"/>
        </w:rPr>
        <w:t xml:space="preserve">                            </w:t>
      </w:r>
      <w:r>
        <w:rPr>
          <w:rFonts w:hint="eastAsia" w:ascii="宋体" w:hAnsi="宋体" w:eastAsia="宋体"/>
          <w:b/>
          <w:bCs/>
          <w:sz w:val="24"/>
          <w:szCs w:val="24"/>
        </w:rPr>
        <w:t>学位点名称：保险</w:t>
      </w:r>
    </w:p>
    <w:tbl>
      <w:tblPr>
        <w:tblStyle w:val="6"/>
        <w:tblW w:w="14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432"/>
        <w:gridCol w:w="3155"/>
        <w:gridCol w:w="3155"/>
        <w:gridCol w:w="1035"/>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3864"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155"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155"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35"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096"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专业特色</w:t>
            </w:r>
          </w:p>
        </w:tc>
        <w:tc>
          <w:tcPr>
            <w:tcW w:w="3432"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w:t>
            </w:r>
            <w:r>
              <w:rPr>
                <w:rFonts w:ascii="宋体" w:hAnsi="宋体" w:eastAsia="宋体"/>
                <w:b/>
                <w:bCs/>
                <w:sz w:val="21"/>
                <w:szCs w:val="21"/>
              </w:rPr>
              <w:t>特色</w:t>
            </w:r>
          </w:p>
          <w:p>
            <w:pPr>
              <w:rPr>
                <w:rFonts w:ascii="宋体" w:hAnsi="宋体" w:eastAsia="宋体"/>
                <w:sz w:val="21"/>
                <w:szCs w:val="21"/>
              </w:rPr>
            </w:pPr>
            <w:r>
              <w:rPr>
                <w:rFonts w:ascii="宋体" w:hAnsi="宋体" w:eastAsia="宋体"/>
                <w:sz w:val="21"/>
                <w:szCs w:val="21"/>
              </w:rPr>
              <w:t>具备扎实的办学基础和良好的社会声誉，相关学科或专业特色鲜明，人才培养目标适应经济社会发展需要、符合职业导向，能与风险管理与保险相关行业、职业资格有效衔接，适应区域发展需求。</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432" w:type="dxa"/>
          </w:tcPr>
          <w:p>
            <w:pPr>
              <w:rPr>
                <w:rFonts w:ascii="宋体" w:hAnsi="宋体" w:eastAsia="宋体"/>
                <w:b/>
                <w:bCs/>
                <w:sz w:val="21"/>
                <w:szCs w:val="21"/>
              </w:rPr>
            </w:pPr>
            <w:r>
              <w:rPr>
                <w:rFonts w:ascii="宋体" w:hAnsi="宋体" w:eastAsia="宋体"/>
                <w:b/>
                <w:bCs/>
                <w:sz w:val="21"/>
                <w:szCs w:val="21"/>
              </w:rPr>
              <w:t>2.2人员</w:t>
            </w:r>
            <w:r>
              <w:rPr>
                <w:rFonts w:hint="eastAsia" w:ascii="宋体" w:hAnsi="宋体" w:eastAsia="宋体"/>
                <w:b/>
                <w:bCs/>
                <w:sz w:val="21"/>
                <w:szCs w:val="21"/>
              </w:rPr>
              <w:t>规模</w:t>
            </w:r>
          </w:p>
          <w:p>
            <w:pPr>
              <w:rPr>
                <w:rFonts w:ascii="宋体" w:hAnsi="宋体" w:eastAsia="宋体"/>
                <w:sz w:val="21"/>
                <w:szCs w:val="21"/>
              </w:rPr>
            </w:pPr>
            <w:r>
              <w:rPr>
                <w:rFonts w:ascii="宋体" w:hAnsi="宋体" w:eastAsia="宋体"/>
                <w:sz w:val="21"/>
                <w:szCs w:val="21"/>
              </w:rPr>
              <w:t>专任教师不少于 7 人。行业导师规模适度，须在风险管理与保险相关领域从业时间不少于 8 年。</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2" w:type="dxa"/>
          </w:tcPr>
          <w:p>
            <w:pPr>
              <w:rPr>
                <w:rFonts w:ascii="宋体" w:hAnsi="宋体" w:eastAsia="宋体"/>
                <w:b/>
                <w:bCs/>
                <w:sz w:val="21"/>
                <w:szCs w:val="21"/>
              </w:rPr>
            </w:pPr>
            <w:r>
              <w:rPr>
                <w:rFonts w:ascii="宋体" w:hAnsi="宋体" w:eastAsia="宋体"/>
                <w:b/>
                <w:bCs/>
                <w:sz w:val="21"/>
                <w:szCs w:val="21"/>
              </w:rPr>
              <w:t>2.3人员</w:t>
            </w:r>
            <w:r>
              <w:rPr>
                <w:rFonts w:hint="eastAsia" w:ascii="宋体" w:hAnsi="宋体" w:eastAsia="宋体"/>
                <w:b/>
                <w:bCs/>
                <w:sz w:val="21"/>
                <w:szCs w:val="21"/>
              </w:rPr>
              <w:t>结构</w:t>
            </w:r>
          </w:p>
          <w:p>
            <w:pPr>
              <w:rPr>
                <w:rFonts w:ascii="宋体" w:hAnsi="宋体" w:eastAsia="宋体"/>
                <w:sz w:val="21"/>
                <w:szCs w:val="21"/>
              </w:rPr>
            </w:pPr>
            <w:r>
              <w:rPr>
                <w:rFonts w:ascii="宋体" w:hAnsi="宋体" w:eastAsia="宋体"/>
                <w:sz w:val="21"/>
                <w:szCs w:val="21"/>
              </w:rPr>
              <w:t>专任教师队伍的年龄结构、学缘结构、学科知识结构合理。45 岁（含） 以下的教师比例不低于 40%；在非本校完成硕（博）士研究生教育的教师比例应不低于 30%； 博士学位获得者比例不低于 50%；具有副高及以上职称的教师的比例应不低于 30%。</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2" w:type="dxa"/>
          </w:tcPr>
          <w:p>
            <w:pPr>
              <w:rPr>
                <w:rFonts w:ascii="宋体" w:hAnsi="宋体" w:eastAsia="宋体"/>
                <w:b/>
                <w:bCs/>
                <w:sz w:val="21"/>
                <w:szCs w:val="21"/>
              </w:rPr>
            </w:pPr>
            <w:r>
              <w:rPr>
                <w:rFonts w:ascii="宋体" w:hAnsi="宋体" w:eastAsia="宋体"/>
                <w:b/>
                <w:bCs/>
                <w:sz w:val="21"/>
                <w:szCs w:val="21"/>
              </w:rPr>
              <w:t>2.4</w:t>
            </w:r>
            <w:r>
              <w:rPr>
                <w:rFonts w:hint="eastAsia" w:ascii="宋体" w:hAnsi="宋体" w:eastAsia="宋体"/>
                <w:b/>
                <w:bCs/>
                <w:sz w:val="21"/>
                <w:szCs w:val="21"/>
              </w:rPr>
              <w:t>骨干教师</w:t>
            </w:r>
          </w:p>
          <w:p>
            <w:pPr>
              <w:rPr>
                <w:rFonts w:ascii="宋体" w:hAnsi="宋体" w:eastAsia="宋体"/>
                <w:sz w:val="21"/>
                <w:szCs w:val="21"/>
              </w:rPr>
            </w:pPr>
            <w:r>
              <w:rPr>
                <w:rFonts w:hint="eastAsia" w:ascii="宋体" w:hAnsi="宋体" w:eastAsia="宋体"/>
                <w:sz w:val="21"/>
                <w:szCs w:val="21"/>
              </w:rPr>
              <w:t>具有高级职称的骨干教师不少于 3 人，应具有全过程培养硕士研究生的经历（培养至少 1 届相关专业的硕士研究生）。近 5 年以第一作者在本专业领域发表高水平学术论文不少于 2 篇或主持国家自然科学基金（或社会科学基金）不少于 1 项或承担各类省（部）级及以上纵向课题或企业横向课题不少于 2 项。应获得过国家级或省部级学术称号或在相关学术团体担任一定的职务。</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432" w:type="dxa"/>
          </w:tcPr>
          <w:p>
            <w:pPr>
              <w:rPr>
                <w:rFonts w:ascii="宋体" w:hAnsi="宋体" w:eastAsia="宋体"/>
                <w:b/>
                <w:bCs/>
                <w:sz w:val="21"/>
                <w:szCs w:val="21"/>
              </w:rPr>
            </w:pPr>
            <w:r>
              <w:rPr>
                <w:rFonts w:ascii="宋体" w:hAnsi="宋体" w:eastAsia="宋体"/>
                <w:b/>
                <w:bCs/>
                <w:sz w:val="21"/>
                <w:szCs w:val="21"/>
              </w:rPr>
              <w:t>3.5课程与教学</w:t>
            </w:r>
          </w:p>
          <w:p>
            <w:pPr>
              <w:rPr>
                <w:rFonts w:ascii="宋体" w:hAnsi="宋体" w:eastAsia="宋体"/>
                <w:sz w:val="21"/>
                <w:szCs w:val="21"/>
              </w:rPr>
            </w:pPr>
            <w:r>
              <w:rPr>
                <w:rFonts w:hint="eastAsia" w:ascii="宋体" w:hAnsi="宋体" w:eastAsia="宋体"/>
                <w:sz w:val="21"/>
                <w:szCs w:val="21"/>
              </w:rPr>
              <w:t>应具有较成熟的与保险相近学科的本科生（如保险学、金融学等专业）  的培养体系和培养经验，且至少有 1 届毕业生。能够在全国保险专业学位研究生教育指导委员会提供的指导性培养方案的基础上，结合自身的学科优势、办学特色和行业需求制定较为完善的适合自身特色的培养方案，建立完善的课程体系，能够采用讲授、案例教学、专题讲座、研讨、实践教学等教学方式，拥有完整的课程教学管理、考核与评价体系。</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2"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w:t>
            </w:r>
            <w:r>
              <w:rPr>
                <w:rFonts w:ascii="宋体" w:hAnsi="宋体" w:eastAsia="宋体"/>
                <w:b/>
                <w:bCs/>
                <w:sz w:val="21"/>
                <w:szCs w:val="21"/>
              </w:rPr>
              <w:t>培养质量</w:t>
            </w:r>
          </w:p>
          <w:p>
            <w:pPr>
              <w:rPr>
                <w:rFonts w:ascii="宋体" w:hAnsi="宋体" w:eastAsia="宋体"/>
                <w:sz w:val="21"/>
                <w:szCs w:val="21"/>
              </w:rPr>
            </w:pPr>
            <w:r>
              <w:rPr>
                <w:rFonts w:hint="eastAsia" w:ascii="宋体" w:hAnsi="宋体" w:eastAsia="宋体"/>
                <w:sz w:val="21"/>
                <w:szCs w:val="21"/>
              </w:rPr>
              <w:t>近 5 年，相近学科本科生或者研究生的培养质量突出，应有相当数量的毕业生从事风险管理与保险相关工作，且在获得奖励和荣誉、学术成果、职业发展、社会服务方面表现良好，用人单位及社会评价良好</w:t>
            </w:r>
            <w:r>
              <w:rPr>
                <w:rFonts w:ascii="宋体" w:hAnsi="宋体" w:eastAsia="宋体"/>
                <w:sz w:val="21"/>
                <w:szCs w:val="21"/>
              </w:rPr>
              <w:t>。</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432"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w:t>
            </w:r>
            <w:r>
              <w:rPr>
                <w:rFonts w:ascii="宋体" w:hAnsi="宋体" w:eastAsia="宋体"/>
                <w:b/>
                <w:bCs/>
                <w:sz w:val="21"/>
                <w:szCs w:val="21"/>
              </w:rPr>
              <w:t>科研水平</w:t>
            </w:r>
          </w:p>
          <w:p>
            <w:pPr>
              <w:rPr>
                <w:rFonts w:ascii="宋体" w:hAnsi="宋体" w:eastAsia="宋体"/>
                <w:sz w:val="21"/>
                <w:szCs w:val="21"/>
              </w:rPr>
            </w:pPr>
            <w:r>
              <w:rPr>
                <w:rFonts w:hint="eastAsia" w:ascii="宋体" w:hAnsi="宋体" w:eastAsia="宋体"/>
                <w:sz w:val="21"/>
                <w:szCs w:val="21"/>
              </w:rPr>
              <w:t>近 5 年，专任教师人均科研经费不低于 5 万元；专任教师人均发表高水平</w:t>
            </w:r>
          </w:p>
          <w:p>
            <w:pPr>
              <w:rPr>
                <w:rFonts w:ascii="宋体" w:hAnsi="宋体" w:eastAsia="宋体"/>
                <w:sz w:val="21"/>
                <w:szCs w:val="21"/>
              </w:rPr>
            </w:pPr>
            <w:r>
              <w:rPr>
                <w:rFonts w:hint="eastAsia" w:ascii="宋体" w:hAnsi="宋体" w:eastAsia="宋体"/>
                <w:sz w:val="21"/>
                <w:szCs w:val="21"/>
              </w:rPr>
              <w:t>学术论文 1 篇以上；人均主持省部级及以上科研项目 0.5 项以上，人均参与省部级及以上科研项目 1 项以上；人均应用成果（咨询报告、行业标准、案例等）的数量不少于 1 项；专任教师获得过一定数量的奖励（包省部级以上科研奖励、优秀成果奖、优秀教材奖及高级别行业奖励等）。</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2"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w:t>
            </w:r>
            <w:r>
              <w:rPr>
                <w:rFonts w:ascii="宋体" w:hAnsi="宋体" w:eastAsia="宋体"/>
                <w:b/>
                <w:bCs/>
                <w:sz w:val="21"/>
                <w:szCs w:val="21"/>
              </w:rPr>
              <w:t>实践教学</w:t>
            </w:r>
          </w:p>
          <w:p>
            <w:pPr>
              <w:rPr>
                <w:rFonts w:ascii="宋体" w:hAnsi="宋体" w:eastAsia="宋体"/>
                <w:sz w:val="21"/>
                <w:szCs w:val="21"/>
              </w:rPr>
            </w:pPr>
            <w:r>
              <w:rPr>
                <w:rFonts w:ascii="宋体" w:hAnsi="宋体" w:eastAsia="宋体"/>
                <w:sz w:val="21"/>
                <w:szCs w:val="21"/>
              </w:rPr>
              <w:t>有数量充足、稳定的供本专业学生开展实践教学或者专业实践的基地； 具有满足开展案例教学所需要的必备条件，且已采用案例教学的课程不少于 2 门。行业导师须实际参与教学及指导工作。</w:t>
            </w:r>
          </w:p>
        </w:tc>
        <w:tc>
          <w:tcPr>
            <w:tcW w:w="3155" w:type="dxa"/>
          </w:tcPr>
          <w:p>
            <w:pPr>
              <w:ind w:left="100"/>
              <w:jc w:val="both"/>
              <w:rPr>
                <w:rFonts w:ascii="宋体" w:hAnsi="宋体" w:eastAsia="宋体"/>
                <w:b/>
                <w:bCs/>
                <w:w w:val="98"/>
                <w:sz w:val="21"/>
                <w:szCs w:val="21"/>
              </w:rPr>
            </w:pPr>
          </w:p>
        </w:tc>
        <w:tc>
          <w:tcPr>
            <w:tcW w:w="3155" w:type="dxa"/>
          </w:tcPr>
          <w:p>
            <w:pPr>
              <w:ind w:left="100"/>
              <w:jc w:val="both"/>
              <w:rPr>
                <w:rFonts w:ascii="宋体" w:hAnsi="宋体" w:eastAsia="宋体"/>
                <w:b/>
                <w:bCs/>
                <w:w w:val="98"/>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2"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支撑条件</w:t>
            </w:r>
          </w:p>
          <w:p>
            <w:pPr>
              <w:rPr>
                <w:rFonts w:ascii="宋体" w:hAnsi="宋体" w:eastAsia="宋体"/>
                <w:sz w:val="21"/>
                <w:szCs w:val="21"/>
              </w:rPr>
            </w:pPr>
            <w:r>
              <w:rPr>
                <w:rFonts w:ascii="宋体" w:hAnsi="宋体" w:eastAsia="宋体"/>
                <w:sz w:val="21"/>
                <w:szCs w:val="21"/>
              </w:rPr>
              <w:t>设立专业学位研究生培养平台及教学管理机构，管理职责明确，规章制度齐备；须具有一定的图书、文献资料、数据库以及保险相关的案例库；建立配套的创新创业激励体系；建立完善的质量保障制度。设置明确的奖助学金制度。</w:t>
            </w:r>
          </w:p>
        </w:tc>
        <w:tc>
          <w:tcPr>
            <w:tcW w:w="3155" w:type="dxa"/>
          </w:tcPr>
          <w:p>
            <w:pPr>
              <w:spacing w:line="322" w:lineRule="auto"/>
              <w:rPr>
                <w:rFonts w:ascii="宋体" w:hAnsi="宋体" w:eastAsia="宋体"/>
                <w:b/>
                <w:bCs/>
                <w:sz w:val="21"/>
                <w:szCs w:val="21"/>
              </w:rPr>
            </w:pPr>
          </w:p>
        </w:tc>
        <w:tc>
          <w:tcPr>
            <w:tcW w:w="3155" w:type="dxa"/>
          </w:tcPr>
          <w:p>
            <w:pPr>
              <w:spacing w:line="322" w:lineRule="auto"/>
              <w:rPr>
                <w:rFonts w:ascii="宋体" w:hAnsi="宋体" w:eastAsia="宋体"/>
                <w:b/>
                <w:bCs/>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sym w:font="Wingdings 2" w:char="00A3"/>
            </w: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hint="eastAsia" w:ascii="宋体" w:hAnsi="宋体" w:eastAsia="宋体"/>
                <w:b/>
                <w:bCs/>
                <w:sz w:val="21"/>
                <w:szCs w:val="21"/>
              </w:rPr>
              <w:t>5.其他要求</w:t>
            </w:r>
          </w:p>
        </w:tc>
        <w:tc>
          <w:tcPr>
            <w:tcW w:w="3432" w:type="dxa"/>
          </w:tcPr>
          <w:p>
            <w:pPr>
              <w:rPr>
                <w:rFonts w:ascii="宋体" w:hAnsi="宋体" w:eastAsia="宋体"/>
                <w:b/>
                <w:bCs/>
                <w:sz w:val="21"/>
                <w:szCs w:val="21"/>
              </w:rPr>
            </w:pPr>
            <w:r>
              <w:rPr>
                <w:rFonts w:hint="eastAsia" w:ascii="宋体" w:hAnsi="宋体" w:eastAsia="宋体"/>
                <w:b/>
                <w:bCs/>
                <w:sz w:val="21"/>
                <w:szCs w:val="21"/>
              </w:rPr>
              <w:t>5.10 其他要求</w:t>
            </w:r>
          </w:p>
          <w:p>
            <w:pPr>
              <w:rPr>
                <w:rFonts w:ascii="宋体" w:hAnsi="宋体" w:eastAsia="宋体"/>
                <w:sz w:val="21"/>
                <w:szCs w:val="21"/>
              </w:rPr>
            </w:pPr>
            <w:r>
              <w:rPr>
                <w:rFonts w:ascii="宋体" w:hAnsi="宋体" w:eastAsia="宋体"/>
                <w:sz w:val="21"/>
                <w:szCs w:val="21"/>
              </w:rPr>
              <w:t>申请单位若开设具有专业特色的细分研究方向，除满足上述条件外，应配置具有专业特色的师资和实习基地。</w:t>
            </w:r>
          </w:p>
        </w:tc>
        <w:tc>
          <w:tcPr>
            <w:tcW w:w="3155" w:type="dxa"/>
          </w:tcPr>
          <w:p>
            <w:pPr>
              <w:spacing w:line="322" w:lineRule="auto"/>
              <w:rPr>
                <w:rFonts w:ascii="宋体" w:hAnsi="宋体" w:eastAsia="宋体"/>
                <w:b/>
                <w:bCs/>
                <w:sz w:val="21"/>
                <w:szCs w:val="21"/>
              </w:rPr>
            </w:pPr>
          </w:p>
        </w:tc>
        <w:tc>
          <w:tcPr>
            <w:tcW w:w="3155" w:type="dxa"/>
          </w:tcPr>
          <w:p>
            <w:pPr>
              <w:spacing w:line="322" w:lineRule="auto"/>
              <w:rPr>
                <w:rFonts w:ascii="宋体" w:hAnsi="宋体" w:eastAsia="宋体"/>
                <w:b/>
                <w:bCs/>
                <w:sz w:val="21"/>
                <w:szCs w:val="21"/>
              </w:rPr>
            </w:pPr>
          </w:p>
        </w:tc>
        <w:tc>
          <w:tcPr>
            <w:tcW w:w="1035"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sym w:font="Wingdings 2" w:char="00A3"/>
            </w: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096" w:type="dxa"/>
          </w:tcPr>
          <w:p>
            <w:pPr>
              <w:jc w:val="both"/>
              <w:rPr>
                <w:rFonts w:hint="eastAsia" w:ascii="宋体" w:hAnsi="宋体" w:eastAsia="宋体"/>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15C86"/>
    <w:rsid w:val="0002227B"/>
    <w:rsid w:val="00132CFC"/>
    <w:rsid w:val="001A1FD2"/>
    <w:rsid w:val="00216EC1"/>
    <w:rsid w:val="00362B60"/>
    <w:rsid w:val="003E2092"/>
    <w:rsid w:val="005B7D2E"/>
    <w:rsid w:val="005E6B82"/>
    <w:rsid w:val="006A6C43"/>
    <w:rsid w:val="006F6993"/>
    <w:rsid w:val="00817BE4"/>
    <w:rsid w:val="008656FD"/>
    <w:rsid w:val="00886857"/>
    <w:rsid w:val="008D6138"/>
    <w:rsid w:val="0090230F"/>
    <w:rsid w:val="0092156B"/>
    <w:rsid w:val="009B13B9"/>
    <w:rsid w:val="009C43D1"/>
    <w:rsid w:val="009F4D24"/>
    <w:rsid w:val="00A57430"/>
    <w:rsid w:val="00BC30F5"/>
    <w:rsid w:val="00C20324"/>
    <w:rsid w:val="00CF00CB"/>
    <w:rsid w:val="00CF4D2D"/>
    <w:rsid w:val="00D73677"/>
    <w:rsid w:val="00DF2B8A"/>
    <w:rsid w:val="00EA5D1A"/>
    <w:rsid w:val="00EF2483"/>
    <w:rsid w:val="00F54084"/>
    <w:rsid w:val="03E92CA9"/>
    <w:rsid w:val="12357AE0"/>
    <w:rsid w:val="15305968"/>
    <w:rsid w:val="15AB506B"/>
    <w:rsid w:val="4A104BA8"/>
    <w:rsid w:val="6D624AD1"/>
    <w:rsid w:val="78130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104"/>
    </w:pPr>
    <w:rPr>
      <w:rFonts w:ascii="宋体" w:hAnsi="宋体" w:eastAsia="宋体" w:cs="宋体"/>
      <w:sz w:val="21"/>
      <w:szCs w:val="21"/>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5">
    <w:name w:val="header"/>
    <w:basedOn w:val="1"/>
    <w:link w:val="8"/>
    <w:unhideWhenUsed/>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8">
    <w:name w:val="页眉 字符"/>
    <w:basedOn w:val="7"/>
    <w:link w:val="5"/>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1"/>
    <w:pPr>
      <w:widowControl w:val="0"/>
      <w:autoSpaceDE w:val="0"/>
      <w:autoSpaceDN w:val="0"/>
      <w:ind w:left="104" w:firstLine="420"/>
      <w:jc w:val="both"/>
    </w:pPr>
    <w:rPr>
      <w:rFonts w:ascii="宋体" w:hAnsi="宋体" w:eastAsia="宋体" w:cs="宋体"/>
      <w:lang w:eastAsia="en-US"/>
    </w:rPr>
  </w:style>
  <w:style w:type="character" w:customStyle="1" w:styleId="11">
    <w:name w:val="批注框文本 字符"/>
    <w:basedOn w:val="7"/>
    <w:link w:val="3"/>
    <w:semiHidden/>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1285</Words>
  <Characters>1328</Characters>
  <Lines>10</Lines>
  <Paragraphs>2</Paragraphs>
  <TotalTime>0</TotalTime>
  <ScaleCrop>false</ScaleCrop>
  <LinksUpToDate>false</LinksUpToDate>
  <CharactersWithSpaces>1403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2022-06-21T08:58:48Z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FB4E92E8997D426691487E16E3A1DC59</vt:lpwstr>
  </property>
</Properties>
</file>