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9" w:lineRule="auto"/>
        <w:jc w:val="center"/>
        <w:rPr>
          <w:rFonts w:ascii="黑体" w:hAnsi="黑体" w:eastAsia="黑体"/>
          <w:b/>
          <w:bCs/>
          <w:sz w:val="32"/>
          <w:szCs w:val="32"/>
        </w:rPr>
      </w:pPr>
      <w:r>
        <w:rPr>
          <w:rFonts w:ascii="黑体" w:hAnsi="黑体" w:eastAsia="黑体"/>
          <w:b/>
          <w:bCs/>
          <w:sz w:val="32"/>
          <w:szCs w:val="32"/>
        </w:rPr>
        <w:t>申请新增</w:t>
      </w:r>
      <w:r>
        <w:rPr>
          <w:rFonts w:hint="eastAsia" w:ascii="黑体" w:hAnsi="黑体" w:eastAsia="黑体"/>
          <w:b/>
          <w:bCs/>
          <w:sz w:val="32"/>
          <w:szCs w:val="32"/>
        </w:rPr>
        <w:t>税务硕士专业</w:t>
      </w:r>
      <w:r>
        <w:rPr>
          <w:rFonts w:ascii="黑体" w:hAnsi="黑体" w:eastAsia="黑体"/>
          <w:b/>
          <w:bCs/>
          <w:sz w:val="32"/>
          <w:szCs w:val="32"/>
        </w:rPr>
        <w:t>学位授权点基本条件</w:t>
      </w:r>
      <w:r>
        <w:rPr>
          <w:rFonts w:hint="eastAsia" w:ascii="黑体" w:hAnsi="黑体" w:eastAsia="黑体" w:cs="黑体"/>
          <w:b/>
          <w:bCs/>
          <w:sz w:val="32"/>
          <w:szCs w:val="32"/>
          <w:lang w:val="en-US" w:eastAsia="zh-CN"/>
        </w:rPr>
        <w:t>建设清单</w:t>
      </w:r>
    </w:p>
    <w:p>
      <w:pPr>
        <w:spacing w:line="329" w:lineRule="auto"/>
        <w:ind w:firstLine="482" w:firstLineChars="200"/>
        <w:rPr>
          <w:rFonts w:ascii="宋体" w:hAnsi="宋体" w:eastAsia="宋体"/>
          <w:b/>
          <w:bCs/>
          <w:sz w:val="24"/>
          <w:szCs w:val="24"/>
        </w:rPr>
      </w:pPr>
      <w:r>
        <w:rPr>
          <w:rFonts w:hint="eastAsia" w:ascii="宋体" w:hAnsi="宋体" w:eastAsia="宋体"/>
          <w:b/>
          <w:bCs/>
          <w:sz w:val="24"/>
          <w:szCs w:val="24"/>
        </w:rPr>
        <w:t>学位点代码：0253</w:t>
      </w:r>
      <w:r>
        <w:rPr>
          <w:rFonts w:ascii="宋体" w:hAnsi="宋体" w:eastAsia="宋体"/>
          <w:b/>
          <w:bCs/>
          <w:sz w:val="24"/>
          <w:szCs w:val="24"/>
        </w:rPr>
        <w:t xml:space="preserve">                          </w:t>
      </w:r>
      <w:r>
        <w:rPr>
          <w:rFonts w:hint="eastAsia" w:ascii="宋体" w:hAnsi="宋体" w:eastAsia="宋体"/>
          <w:b/>
          <w:bCs/>
          <w:sz w:val="24"/>
          <w:szCs w:val="24"/>
        </w:rPr>
        <w:t>学位点名称：税务</w:t>
      </w:r>
    </w:p>
    <w:tbl>
      <w:tblPr>
        <w:tblStyle w:val="6"/>
        <w:tblW w:w="147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32"/>
        <w:gridCol w:w="3683"/>
        <w:gridCol w:w="3143"/>
        <w:gridCol w:w="3143"/>
        <w:gridCol w:w="1023"/>
        <w:gridCol w:w="3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1" w:hRule="atLeast"/>
          <w:jc w:val="center"/>
        </w:trPr>
        <w:tc>
          <w:tcPr>
            <w:tcW w:w="4115" w:type="dxa"/>
            <w:gridSpan w:val="2"/>
            <w:vAlign w:val="center"/>
          </w:tcPr>
          <w:p>
            <w:pPr>
              <w:jc w:val="center"/>
              <w:rPr>
                <w:rFonts w:ascii="宋体" w:hAnsi="宋体" w:eastAsia="宋体"/>
                <w:b/>
                <w:bCs/>
                <w:sz w:val="21"/>
                <w:szCs w:val="21"/>
              </w:rPr>
            </w:pPr>
            <w:r>
              <w:rPr>
                <w:rFonts w:ascii="宋体" w:hAnsi="宋体" w:eastAsia="宋体"/>
                <w:b/>
                <w:bCs/>
                <w:sz w:val="21"/>
                <w:szCs w:val="21"/>
              </w:rPr>
              <w:t>申请基本条件</w:t>
            </w:r>
          </w:p>
        </w:tc>
        <w:tc>
          <w:tcPr>
            <w:tcW w:w="3143" w:type="dxa"/>
            <w:vAlign w:val="center"/>
          </w:tcPr>
          <w:p>
            <w:pPr>
              <w:jc w:val="center"/>
              <w:rPr>
                <w:rFonts w:hint="eastAsia" w:ascii="宋体" w:hAnsi="宋体" w:eastAsia="宋体" w:cs="Times New Roman"/>
                <w:b/>
                <w:bCs/>
                <w:sz w:val="21"/>
                <w:szCs w:val="21"/>
                <w:lang w:val="en-US" w:eastAsia="zh-CN" w:bidi="ar-SA"/>
              </w:rPr>
            </w:pPr>
            <w:r>
              <w:rPr>
                <w:rFonts w:hint="eastAsia" w:ascii="宋体" w:hAnsi="宋体" w:eastAsia="宋体"/>
                <w:b/>
                <w:bCs/>
                <w:sz w:val="21"/>
                <w:szCs w:val="21"/>
                <w:lang w:val="en-US" w:eastAsia="zh-CN"/>
              </w:rPr>
              <w:t>2022年1至6月建设成果（逐项列举）</w:t>
            </w:r>
          </w:p>
        </w:tc>
        <w:tc>
          <w:tcPr>
            <w:tcW w:w="3143" w:type="dxa"/>
            <w:vAlign w:val="center"/>
          </w:tcPr>
          <w:p>
            <w:pPr>
              <w:jc w:val="center"/>
              <w:rPr>
                <w:rFonts w:ascii="宋体" w:hAnsi="宋体" w:eastAsia="宋体" w:cs="Times New Roman"/>
                <w:b/>
                <w:bCs/>
                <w:sz w:val="21"/>
                <w:szCs w:val="21"/>
                <w:lang w:val="en-US" w:eastAsia="zh-CN" w:bidi="ar-SA"/>
              </w:rPr>
            </w:pPr>
            <w:r>
              <w:rPr>
                <w:rFonts w:hint="eastAsia" w:ascii="宋体" w:hAnsi="宋体" w:eastAsia="宋体"/>
                <w:b/>
                <w:bCs/>
                <w:sz w:val="21"/>
                <w:szCs w:val="21"/>
              </w:rPr>
              <w:t>学科现状</w:t>
            </w:r>
            <w:r>
              <w:rPr>
                <w:rFonts w:hint="eastAsia" w:ascii="宋体" w:hAnsi="宋体" w:eastAsia="宋体"/>
                <w:b/>
                <w:bCs/>
                <w:sz w:val="21"/>
                <w:szCs w:val="21"/>
                <w:lang w:val="en-US" w:eastAsia="zh-CN"/>
              </w:rPr>
              <w:t>及差距</w:t>
            </w:r>
            <w:bookmarkStart w:id="1" w:name="_GoBack"/>
            <w:bookmarkEnd w:id="1"/>
            <w:r>
              <w:rPr>
                <w:rFonts w:hint="eastAsia" w:ascii="宋体" w:hAnsi="宋体" w:eastAsia="宋体"/>
                <w:b/>
                <w:bCs/>
                <w:sz w:val="21"/>
                <w:szCs w:val="21"/>
              </w:rPr>
              <w:t>（根据申请基本条件，逐项描述达标情况）</w:t>
            </w:r>
          </w:p>
        </w:tc>
        <w:tc>
          <w:tcPr>
            <w:tcW w:w="1023" w:type="dxa"/>
            <w:vAlign w:val="center"/>
          </w:tcPr>
          <w:p>
            <w:pPr>
              <w:jc w:val="center"/>
              <w:rPr>
                <w:rFonts w:ascii="宋体" w:hAnsi="宋体" w:eastAsia="宋体"/>
                <w:b/>
                <w:bCs/>
                <w:sz w:val="21"/>
                <w:szCs w:val="21"/>
              </w:rPr>
            </w:pPr>
            <w:r>
              <w:rPr>
                <w:rFonts w:hint="eastAsia" w:ascii="宋体" w:hAnsi="宋体" w:eastAsia="宋体"/>
                <w:b/>
                <w:bCs/>
                <w:sz w:val="21"/>
                <w:szCs w:val="21"/>
              </w:rPr>
              <w:t>自审是否达标 （√）</w:t>
            </w:r>
          </w:p>
        </w:tc>
        <w:tc>
          <w:tcPr>
            <w:tcW w:w="3310" w:type="dxa"/>
            <w:vAlign w:val="center"/>
          </w:tcPr>
          <w:p>
            <w:pPr>
              <w:jc w:val="center"/>
              <w:rPr>
                <w:rFonts w:hint="eastAsia" w:ascii="宋体" w:hAnsi="宋体" w:eastAsia="宋体"/>
                <w:b/>
                <w:bCs/>
                <w:sz w:val="21"/>
                <w:szCs w:val="21"/>
              </w:rPr>
            </w:pPr>
            <w:r>
              <w:rPr>
                <w:rFonts w:hint="eastAsia" w:ascii="宋体" w:hAnsi="宋体" w:eastAsia="宋体"/>
                <w:b/>
                <w:bCs/>
                <w:sz w:val="21"/>
                <w:szCs w:val="21"/>
              </w:rPr>
              <w:t>拟采取措施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tcPr>
          <w:p>
            <w:pPr>
              <w:rPr>
                <w:rFonts w:ascii="宋体" w:hAnsi="宋体" w:eastAsia="宋体"/>
                <w:b/>
                <w:bCs/>
                <w:sz w:val="21"/>
                <w:szCs w:val="21"/>
              </w:rPr>
            </w:pPr>
            <w:r>
              <w:rPr>
                <w:rFonts w:ascii="宋体" w:hAnsi="宋体" w:eastAsia="宋体"/>
                <w:b/>
                <w:bCs/>
                <w:sz w:val="21"/>
                <w:szCs w:val="21"/>
              </w:rPr>
              <w:t>1.</w:t>
            </w:r>
            <w:r>
              <w:rPr>
                <w:rFonts w:hint="eastAsia" w:ascii="宋体" w:hAnsi="宋体" w:eastAsia="宋体"/>
                <w:b/>
                <w:bCs/>
                <w:sz w:val="21"/>
                <w:szCs w:val="21"/>
              </w:rPr>
              <w:t>专业</w:t>
            </w:r>
            <w:r>
              <w:rPr>
                <w:rFonts w:ascii="宋体" w:hAnsi="宋体" w:eastAsia="宋体"/>
                <w:b/>
                <w:bCs/>
                <w:sz w:val="21"/>
                <w:szCs w:val="21"/>
              </w:rPr>
              <w:t>特色</w:t>
            </w:r>
          </w:p>
        </w:tc>
        <w:tc>
          <w:tcPr>
            <w:tcW w:w="3683" w:type="dxa"/>
          </w:tcPr>
          <w:p>
            <w:pPr>
              <w:rPr>
                <w:rFonts w:ascii="宋体" w:hAnsi="宋体" w:eastAsia="宋体"/>
                <w:b/>
                <w:bCs/>
                <w:sz w:val="21"/>
                <w:szCs w:val="21"/>
              </w:rPr>
            </w:pPr>
            <w:r>
              <w:rPr>
                <w:rFonts w:ascii="宋体" w:hAnsi="宋体" w:eastAsia="宋体"/>
                <w:b/>
                <w:bCs/>
                <w:sz w:val="21"/>
                <w:szCs w:val="21"/>
              </w:rPr>
              <w:t>1.1</w:t>
            </w:r>
            <w:r>
              <w:rPr>
                <w:rFonts w:hint="eastAsia" w:ascii="宋体" w:hAnsi="宋体" w:eastAsia="宋体"/>
                <w:b/>
                <w:bCs/>
                <w:sz w:val="21"/>
                <w:szCs w:val="21"/>
              </w:rPr>
              <w:t>专业特色</w:t>
            </w:r>
          </w:p>
          <w:p>
            <w:pPr>
              <w:rPr>
                <w:rFonts w:ascii="宋体" w:hAnsi="宋体" w:eastAsia="宋体"/>
                <w:sz w:val="21"/>
                <w:szCs w:val="21"/>
              </w:rPr>
            </w:pPr>
            <w:r>
              <w:rPr>
                <w:rFonts w:ascii="宋体" w:hAnsi="宋体" w:eastAsia="宋体"/>
                <w:sz w:val="21"/>
                <w:szCs w:val="21"/>
              </w:rPr>
              <w:t>税务硕士专业学位教育是适应国家与地方经济社会发展的需要，为税务、海关、公安、检察院和法院等国家机关、大中型企业以及涉税专业服务机构等用人单位培养高层次、应用型、复合型税务专门人才的重要途径。应体现较好的专业复合，具备鲜明的专业特色与优势，与行业、职业准入资质的衔接度高，与区域发展需求的契合度准，与涉税部门、企业或行业的合作紧密。</w:t>
            </w:r>
          </w:p>
        </w:tc>
        <w:tc>
          <w:tcPr>
            <w:tcW w:w="3143" w:type="dxa"/>
          </w:tcPr>
          <w:p>
            <w:pPr>
              <w:ind w:left="100"/>
              <w:jc w:val="both"/>
              <w:rPr>
                <w:rFonts w:ascii="宋体" w:hAnsi="宋体" w:eastAsia="宋体"/>
                <w:b/>
                <w:bCs/>
                <w:w w:val="98"/>
                <w:sz w:val="21"/>
                <w:szCs w:val="21"/>
              </w:rPr>
            </w:pPr>
          </w:p>
        </w:tc>
        <w:tc>
          <w:tcPr>
            <w:tcW w:w="3143" w:type="dxa"/>
          </w:tcPr>
          <w:p>
            <w:pPr>
              <w:ind w:left="100"/>
              <w:jc w:val="both"/>
              <w:rPr>
                <w:rFonts w:ascii="宋体" w:hAnsi="宋体" w:eastAsia="宋体"/>
                <w:b/>
                <w:bCs/>
                <w:w w:val="98"/>
                <w:sz w:val="21"/>
                <w:szCs w:val="21"/>
              </w:rPr>
            </w:pPr>
          </w:p>
        </w:tc>
        <w:tc>
          <w:tcPr>
            <w:tcW w:w="1023"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310" w:type="dxa"/>
          </w:tcPr>
          <w:p>
            <w:pPr>
              <w:jc w:val="cente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师资</w:t>
            </w:r>
            <w:r>
              <w:rPr>
                <w:rFonts w:ascii="宋体" w:hAnsi="宋体" w:eastAsia="宋体"/>
                <w:b/>
                <w:bCs/>
                <w:sz w:val="21"/>
                <w:szCs w:val="21"/>
              </w:rPr>
              <w:t>队伍</w:t>
            </w:r>
          </w:p>
        </w:tc>
        <w:tc>
          <w:tcPr>
            <w:tcW w:w="3683" w:type="dxa"/>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2</w:t>
            </w:r>
            <w:r>
              <w:rPr>
                <w:rFonts w:ascii="宋体" w:hAnsi="宋体" w:eastAsia="宋体"/>
                <w:b/>
                <w:bCs/>
                <w:sz w:val="21"/>
                <w:szCs w:val="21"/>
              </w:rPr>
              <w:t>人员规模</w:t>
            </w:r>
          </w:p>
          <w:p>
            <w:pPr>
              <w:rPr>
                <w:rFonts w:ascii="宋体" w:hAnsi="宋体" w:eastAsia="宋体"/>
                <w:sz w:val="21"/>
                <w:szCs w:val="21"/>
              </w:rPr>
            </w:pPr>
            <w:r>
              <w:rPr>
                <w:rFonts w:ascii="宋体" w:hAnsi="宋体" w:eastAsia="宋体"/>
                <w:sz w:val="21"/>
                <w:szCs w:val="21"/>
              </w:rPr>
              <w:t>设有税收学科的专门教学或研究机构，包括学院、系、教研室、研究所、研究中心或专业团队等。专任教师应不少于 5 人，外聘兼职从事税收专业课程教学的教师应不少于 10 人，其中，外聘教师应在税务机关或海关等涉税国家机关、税务师事务所、会计师事务所、律师事务所、大中型企业财务或税务部门等从事涉税实务工作满 6 年以上。</w:t>
            </w:r>
          </w:p>
        </w:tc>
        <w:tc>
          <w:tcPr>
            <w:tcW w:w="3143" w:type="dxa"/>
          </w:tcPr>
          <w:p>
            <w:pPr>
              <w:ind w:left="100"/>
              <w:jc w:val="both"/>
              <w:rPr>
                <w:rFonts w:ascii="宋体" w:hAnsi="宋体" w:eastAsia="宋体"/>
                <w:b/>
                <w:bCs/>
                <w:w w:val="98"/>
                <w:sz w:val="21"/>
                <w:szCs w:val="21"/>
              </w:rPr>
            </w:pPr>
          </w:p>
        </w:tc>
        <w:tc>
          <w:tcPr>
            <w:tcW w:w="3143" w:type="dxa"/>
          </w:tcPr>
          <w:p>
            <w:pPr>
              <w:ind w:left="100"/>
              <w:jc w:val="both"/>
              <w:rPr>
                <w:rFonts w:ascii="宋体" w:hAnsi="宋体" w:eastAsia="宋体"/>
                <w:b/>
                <w:bCs/>
                <w:w w:val="98"/>
                <w:sz w:val="21"/>
                <w:szCs w:val="21"/>
              </w:rPr>
            </w:pPr>
          </w:p>
        </w:tc>
        <w:tc>
          <w:tcPr>
            <w:tcW w:w="1023"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310" w:type="dxa"/>
          </w:tcPr>
          <w:p>
            <w:pPr>
              <w:jc w:val="cente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683" w:type="dxa"/>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3</w:t>
            </w:r>
            <w:r>
              <w:rPr>
                <w:rFonts w:ascii="宋体" w:hAnsi="宋体" w:eastAsia="宋体"/>
                <w:b/>
                <w:bCs/>
                <w:sz w:val="21"/>
                <w:szCs w:val="21"/>
              </w:rPr>
              <w:t>人员结构</w:t>
            </w:r>
          </w:p>
          <w:p>
            <w:pPr>
              <w:rPr>
                <w:rFonts w:ascii="宋体" w:hAnsi="宋体" w:eastAsia="宋体"/>
                <w:sz w:val="21"/>
                <w:szCs w:val="21"/>
              </w:rPr>
            </w:pPr>
            <w:r>
              <w:rPr>
                <w:rFonts w:ascii="宋体" w:hAnsi="宋体" w:eastAsia="宋体"/>
                <w:sz w:val="21"/>
                <w:szCs w:val="21"/>
              </w:rPr>
              <w:t>具有一支年龄结构、学缘结构、学历和专业技术职称结构以及实践结构均较为合理的稳定的税务专业师资队伍，有在国内同行中有影响力、治学严谨的学术带头人， 能持续开展较高水平的教学和科研工作，从而保障教学质量的提高和高素质人才的培养。专任教师中，外单位授予硕士及以上学位人员的比例应不低于20%；博士学位获得者占任课教师总数的比例应不低于30%，副高以上职称的专任教师占任课教师总数的比例应不低于 50%。应有一定数量的来自实务部门的具有丰富实践经验的专家作为兼职导师，校内教师50%以上应具有税收实践经验；校外教师应具有注册会计师、税务师资质或取得法律等职业资格证书，或在国家、地方税务管理机关或其他涉税国家机关担任副处级以上岗位领导职务，或具 10年以上涉税实务从业经验。</w:t>
            </w:r>
          </w:p>
        </w:tc>
        <w:tc>
          <w:tcPr>
            <w:tcW w:w="3143" w:type="dxa"/>
          </w:tcPr>
          <w:p>
            <w:pPr>
              <w:ind w:left="100"/>
              <w:jc w:val="both"/>
              <w:rPr>
                <w:rFonts w:ascii="宋体" w:hAnsi="宋体" w:eastAsia="宋体"/>
                <w:b/>
                <w:bCs/>
                <w:w w:val="98"/>
                <w:sz w:val="21"/>
                <w:szCs w:val="21"/>
              </w:rPr>
            </w:pPr>
          </w:p>
        </w:tc>
        <w:tc>
          <w:tcPr>
            <w:tcW w:w="3143" w:type="dxa"/>
          </w:tcPr>
          <w:p>
            <w:pPr>
              <w:ind w:left="100"/>
              <w:jc w:val="both"/>
              <w:rPr>
                <w:rFonts w:ascii="宋体" w:hAnsi="宋体" w:eastAsia="宋体"/>
                <w:b/>
                <w:bCs/>
                <w:w w:val="98"/>
                <w:sz w:val="21"/>
                <w:szCs w:val="21"/>
              </w:rPr>
            </w:pPr>
          </w:p>
        </w:tc>
        <w:tc>
          <w:tcPr>
            <w:tcW w:w="1023"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310" w:type="dxa"/>
          </w:tcPr>
          <w:p>
            <w:pPr>
              <w:jc w:val="cente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683" w:type="dxa"/>
          </w:tcPr>
          <w:p>
            <w:pPr>
              <w:rPr>
                <w:rFonts w:ascii="宋体" w:hAnsi="宋体" w:eastAsia="宋体"/>
                <w:b/>
                <w:bCs/>
                <w:sz w:val="21"/>
                <w:szCs w:val="21"/>
              </w:rPr>
            </w:pPr>
            <w:r>
              <w:rPr>
                <w:rFonts w:ascii="宋体" w:hAnsi="宋体" w:eastAsia="宋体"/>
                <w:b/>
                <w:bCs/>
                <w:sz w:val="21"/>
                <w:szCs w:val="21"/>
              </w:rPr>
              <w:t>2.</w:t>
            </w:r>
            <w:r>
              <w:rPr>
                <w:rFonts w:hint="eastAsia" w:ascii="宋体" w:hAnsi="宋体" w:eastAsia="宋体"/>
                <w:b/>
                <w:bCs/>
                <w:sz w:val="21"/>
                <w:szCs w:val="21"/>
              </w:rPr>
              <w:t>4骨干教师</w:t>
            </w:r>
          </w:p>
          <w:p>
            <w:pPr>
              <w:rPr>
                <w:rFonts w:ascii="宋体" w:hAnsi="宋体" w:eastAsia="宋体"/>
                <w:sz w:val="21"/>
                <w:szCs w:val="21"/>
              </w:rPr>
            </w:pPr>
            <w:r>
              <w:rPr>
                <w:rFonts w:ascii="宋体" w:hAnsi="宋体" w:eastAsia="宋体"/>
                <w:sz w:val="21"/>
                <w:szCs w:val="21"/>
              </w:rPr>
              <w:t>专业骨干教师是指申请单位的税收学科带头人和负责税收专业核心课程的专任教师。近 5 年内，骨干教师队伍中至少有 50%及以上曾担任本申请单位或外单位财政、税收、会计、法律等相关专业硕士生导师并招收培养硕士研究生，至少有 1 人在省级以上税收学术团体、行业协会兼任理事及以上职务，至少有 1 人获得省部级以上教师、教学、科研等奖励或者荣誉称号，至少主持 1 项国家级课题，被省部级部门或单位采纳的决策咨询建议或报告至少 1 项，主持或完成省部级课题 3 项，获得省部级科研奖励 1 项，上述科研成果和奖励要求与税收专业相关。</w:t>
            </w:r>
          </w:p>
        </w:tc>
        <w:tc>
          <w:tcPr>
            <w:tcW w:w="3143" w:type="dxa"/>
          </w:tcPr>
          <w:p>
            <w:pPr>
              <w:ind w:left="100"/>
              <w:jc w:val="both"/>
              <w:rPr>
                <w:rFonts w:ascii="宋体" w:hAnsi="宋体" w:eastAsia="宋体"/>
                <w:b/>
                <w:bCs/>
                <w:w w:val="98"/>
                <w:sz w:val="21"/>
                <w:szCs w:val="21"/>
              </w:rPr>
            </w:pPr>
          </w:p>
        </w:tc>
        <w:tc>
          <w:tcPr>
            <w:tcW w:w="3143" w:type="dxa"/>
          </w:tcPr>
          <w:p>
            <w:pPr>
              <w:ind w:left="100"/>
              <w:jc w:val="both"/>
              <w:rPr>
                <w:rFonts w:ascii="宋体" w:hAnsi="宋体" w:eastAsia="宋体"/>
                <w:b/>
                <w:bCs/>
                <w:w w:val="98"/>
                <w:sz w:val="21"/>
                <w:szCs w:val="21"/>
              </w:rPr>
            </w:pPr>
          </w:p>
        </w:tc>
        <w:tc>
          <w:tcPr>
            <w:tcW w:w="1023"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310" w:type="dxa"/>
          </w:tcPr>
          <w:p>
            <w:pPr>
              <w:jc w:val="cente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3.人才培养</w:t>
            </w:r>
          </w:p>
        </w:tc>
        <w:tc>
          <w:tcPr>
            <w:tcW w:w="3683" w:type="dxa"/>
          </w:tcPr>
          <w:p>
            <w:pPr>
              <w:rPr>
                <w:rFonts w:ascii="宋体" w:hAnsi="宋体" w:eastAsia="宋体"/>
                <w:b/>
                <w:bCs/>
                <w:sz w:val="21"/>
                <w:szCs w:val="21"/>
              </w:rPr>
            </w:pPr>
            <w:r>
              <w:rPr>
                <w:rFonts w:ascii="宋体" w:hAnsi="宋体" w:eastAsia="宋体"/>
                <w:b/>
                <w:bCs/>
                <w:sz w:val="21"/>
                <w:szCs w:val="21"/>
              </w:rPr>
              <w:t>3.</w:t>
            </w:r>
            <w:r>
              <w:rPr>
                <w:rFonts w:hint="eastAsia" w:ascii="宋体" w:hAnsi="宋体" w:eastAsia="宋体"/>
                <w:b/>
                <w:bCs/>
                <w:sz w:val="21"/>
                <w:szCs w:val="21"/>
              </w:rPr>
              <w:t>5课程与教学</w:t>
            </w:r>
          </w:p>
          <w:p>
            <w:pPr>
              <w:rPr>
                <w:rFonts w:ascii="宋体" w:hAnsi="宋体" w:eastAsia="宋体"/>
                <w:sz w:val="21"/>
                <w:szCs w:val="21"/>
              </w:rPr>
            </w:pPr>
            <w:r>
              <w:rPr>
                <w:rFonts w:ascii="宋体" w:hAnsi="宋体" w:eastAsia="宋体"/>
                <w:sz w:val="21"/>
                <w:szCs w:val="21"/>
              </w:rPr>
              <w:t>具有财政学或税收学、会计学或财务管理等相关经济学类或工商管理学类专业 8 年以上本科生培养经验。拟开设课程的内容，应该包括但不限于中国税收政策与制度、国外税收政策与制度、国际税收理论与实务、税收征收管理、企业税务管理、财税专业英语等。此外，应结合自身特点开设或举办有利于培养学生创新能力的课程、专业讲座或研讨活动，采取多样化的教学方式。</w:t>
            </w:r>
          </w:p>
        </w:tc>
        <w:tc>
          <w:tcPr>
            <w:tcW w:w="3143" w:type="dxa"/>
          </w:tcPr>
          <w:p>
            <w:pPr>
              <w:ind w:left="100"/>
              <w:jc w:val="both"/>
              <w:rPr>
                <w:rFonts w:ascii="宋体" w:hAnsi="宋体" w:eastAsia="宋体"/>
                <w:b/>
                <w:bCs/>
                <w:w w:val="98"/>
                <w:sz w:val="21"/>
                <w:szCs w:val="21"/>
              </w:rPr>
            </w:pPr>
          </w:p>
        </w:tc>
        <w:tc>
          <w:tcPr>
            <w:tcW w:w="3143" w:type="dxa"/>
          </w:tcPr>
          <w:p>
            <w:pPr>
              <w:ind w:left="100"/>
              <w:jc w:val="both"/>
              <w:rPr>
                <w:rFonts w:ascii="宋体" w:hAnsi="宋体" w:eastAsia="宋体"/>
                <w:b/>
                <w:bCs/>
                <w:w w:val="98"/>
                <w:sz w:val="21"/>
                <w:szCs w:val="21"/>
              </w:rPr>
            </w:pPr>
          </w:p>
        </w:tc>
        <w:tc>
          <w:tcPr>
            <w:tcW w:w="1023"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310" w:type="dxa"/>
          </w:tcPr>
          <w:p>
            <w:pPr>
              <w:jc w:val="cente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b/>
                <w:bCs/>
                <w:sz w:val="21"/>
                <w:szCs w:val="21"/>
              </w:rPr>
            </w:pPr>
          </w:p>
        </w:tc>
        <w:tc>
          <w:tcPr>
            <w:tcW w:w="3683" w:type="dxa"/>
          </w:tcPr>
          <w:p>
            <w:pPr>
              <w:rPr>
                <w:rFonts w:ascii="宋体" w:hAnsi="宋体" w:eastAsia="宋体"/>
                <w:b/>
                <w:bCs/>
                <w:sz w:val="21"/>
                <w:szCs w:val="21"/>
              </w:rPr>
            </w:pPr>
            <w:r>
              <w:rPr>
                <w:rFonts w:ascii="宋体" w:hAnsi="宋体" w:eastAsia="宋体"/>
                <w:b/>
                <w:bCs/>
                <w:sz w:val="21"/>
                <w:szCs w:val="21"/>
              </w:rPr>
              <w:t>3.</w:t>
            </w:r>
            <w:r>
              <w:rPr>
                <w:rFonts w:hint="eastAsia" w:ascii="宋体" w:hAnsi="宋体" w:eastAsia="宋体"/>
                <w:b/>
                <w:bCs/>
                <w:sz w:val="21"/>
                <w:szCs w:val="21"/>
              </w:rPr>
              <w:t>6培养质量</w:t>
            </w:r>
          </w:p>
          <w:p>
            <w:pPr>
              <w:rPr>
                <w:rFonts w:ascii="宋体" w:hAnsi="宋体" w:eastAsia="宋体"/>
                <w:sz w:val="21"/>
                <w:szCs w:val="21"/>
              </w:rPr>
            </w:pPr>
            <w:r>
              <w:rPr>
                <w:rFonts w:hint="eastAsia" w:ascii="宋体" w:hAnsi="宋体" w:eastAsia="宋体"/>
                <w:sz w:val="21"/>
                <w:szCs w:val="21"/>
              </w:rPr>
              <w:t>近 5年内，至少应获得 1 项省部级及以上教学成果奖。相关专业毕业生就</w:t>
            </w:r>
            <w:bookmarkStart w:id="0" w:name="专业学位类别名称（代码）：国际商务（0254）"/>
            <w:bookmarkEnd w:id="0"/>
            <w:r>
              <w:rPr>
                <w:rFonts w:hint="eastAsia" w:ascii="宋体" w:hAnsi="宋体" w:eastAsia="宋体"/>
                <w:sz w:val="21"/>
                <w:szCs w:val="21"/>
              </w:rPr>
              <w:t>业率和就业质量较高。</w:t>
            </w:r>
          </w:p>
        </w:tc>
        <w:tc>
          <w:tcPr>
            <w:tcW w:w="3143" w:type="dxa"/>
          </w:tcPr>
          <w:p>
            <w:pPr>
              <w:ind w:left="100"/>
              <w:jc w:val="both"/>
              <w:rPr>
                <w:rFonts w:ascii="宋体" w:hAnsi="宋体" w:eastAsia="宋体"/>
                <w:b/>
                <w:bCs/>
                <w:w w:val="98"/>
                <w:sz w:val="21"/>
                <w:szCs w:val="21"/>
              </w:rPr>
            </w:pPr>
          </w:p>
        </w:tc>
        <w:tc>
          <w:tcPr>
            <w:tcW w:w="3143" w:type="dxa"/>
          </w:tcPr>
          <w:p>
            <w:pPr>
              <w:ind w:left="100"/>
              <w:jc w:val="both"/>
              <w:rPr>
                <w:rFonts w:ascii="宋体" w:hAnsi="宋体" w:eastAsia="宋体"/>
                <w:b/>
                <w:bCs/>
                <w:w w:val="98"/>
                <w:sz w:val="21"/>
                <w:szCs w:val="21"/>
              </w:rPr>
            </w:pPr>
          </w:p>
        </w:tc>
        <w:tc>
          <w:tcPr>
            <w:tcW w:w="1023"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310" w:type="dxa"/>
          </w:tcPr>
          <w:p>
            <w:pPr>
              <w:jc w:val="cente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restart"/>
          </w:tcPr>
          <w:p>
            <w:pPr>
              <w:rPr>
                <w:rFonts w:ascii="宋体" w:hAnsi="宋体" w:eastAsia="宋体"/>
                <w:b/>
                <w:bCs/>
                <w:sz w:val="21"/>
                <w:szCs w:val="21"/>
              </w:rPr>
            </w:pPr>
            <w:r>
              <w:rPr>
                <w:rFonts w:ascii="宋体" w:hAnsi="宋体" w:eastAsia="宋体"/>
                <w:b/>
                <w:bCs/>
                <w:sz w:val="21"/>
                <w:szCs w:val="21"/>
              </w:rPr>
              <w:t>4.培养环境与条件</w:t>
            </w:r>
          </w:p>
        </w:tc>
        <w:tc>
          <w:tcPr>
            <w:tcW w:w="3683"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7科研水平</w:t>
            </w:r>
          </w:p>
          <w:p>
            <w:pPr>
              <w:rPr>
                <w:rFonts w:ascii="宋体" w:hAnsi="宋体" w:eastAsia="宋体"/>
                <w:sz w:val="21"/>
                <w:szCs w:val="21"/>
              </w:rPr>
            </w:pPr>
            <w:r>
              <w:rPr>
                <w:rFonts w:hint="eastAsia" w:ascii="宋体" w:hAnsi="宋体" w:eastAsia="宋体"/>
                <w:sz w:val="21"/>
                <w:szCs w:val="21"/>
              </w:rPr>
              <w:t>近 5 年，专任教师在国内外经济、管理或综合类高水平学术期刊上以第一作者或通讯联系作者发表税收专业论文人均 3 篇以上（获得过省部级以上领导批示的税收政策建议或咨询报告，获得过省部级以上奖项的税收政策建议或咨询报告，可分别折合核心期刊论文 2 篇）。正式出版税收专业著作或教材不少于 3 部。人均主持过 1 项省部级以上课题或重点建设的税收专业课程，且各类在研项目的人均经费总额不低于 5 万元。</w:t>
            </w:r>
          </w:p>
        </w:tc>
        <w:tc>
          <w:tcPr>
            <w:tcW w:w="3143" w:type="dxa"/>
          </w:tcPr>
          <w:p>
            <w:pPr>
              <w:ind w:left="100"/>
              <w:jc w:val="both"/>
              <w:rPr>
                <w:rFonts w:ascii="宋体" w:hAnsi="宋体" w:eastAsia="宋体"/>
                <w:b/>
                <w:bCs/>
                <w:w w:val="98"/>
                <w:sz w:val="21"/>
                <w:szCs w:val="21"/>
              </w:rPr>
            </w:pPr>
          </w:p>
        </w:tc>
        <w:tc>
          <w:tcPr>
            <w:tcW w:w="3143" w:type="dxa"/>
          </w:tcPr>
          <w:p>
            <w:pPr>
              <w:ind w:left="100"/>
              <w:jc w:val="both"/>
              <w:rPr>
                <w:rFonts w:ascii="宋体" w:hAnsi="宋体" w:eastAsia="宋体"/>
                <w:b/>
                <w:bCs/>
                <w:w w:val="98"/>
                <w:sz w:val="21"/>
                <w:szCs w:val="21"/>
              </w:rPr>
            </w:pPr>
          </w:p>
        </w:tc>
        <w:tc>
          <w:tcPr>
            <w:tcW w:w="1023"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jc w:val="center"/>
              <w:rPr>
                <w:rFonts w:ascii="宋体" w:hAnsi="宋体" w:eastAsia="宋体"/>
                <w:b/>
                <w:bCs/>
                <w:w w:val="98"/>
                <w:sz w:val="21"/>
                <w:szCs w:val="21"/>
              </w:rPr>
            </w:pPr>
            <w:r>
              <w:rPr>
                <w:rFonts w:hint="eastAsia" w:ascii="宋体" w:hAnsi="宋体" w:eastAsia="宋体"/>
                <w:b/>
                <w:bCs/>
                <w:w w:val="98"/>
                <w:sz w:val="21"/>
                <w:szCs w:val="21"/>
              </w:rPr>
              <w:t>□否</w:t>
            </w:r>
          </w:p>
        </w:tc>
        <w:tc>
          <w:tcPr>
            <w:tcW w:w="3310" w:type="dxa"/>
          </w:tcPr>
          <w:p>
            <w:pPr>
              <w:jc w:val="cente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sz w:val="21"/>
                <w:szCs w:val="21"/>
              </w:rPr>
            </w:pPr>
          </w:p>
        </w:tc>
        <w:tc>
          <w:tcPr>
            <w:tcW w:w="3683"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8实践教学</w:t>
            </w:r>
          </w:p>
          <w:p>
            <w:pPr>
              <w:rPr>
                <w:rFonts w:ascii="宋体" w:hAnsi="宋体" w:eastAsia="宋体"/>
                <w:sz w:val="21"/>
                <w:szCs w:val="21"/>
              </w:rPr>
            </w:pPr>
            <w:r>
              <w:rPr>
                <w:rFonts w:ascii="宋体" w:hAnsi="宋体" w:eastAsia="宋体"/>
                <w:sz w:val="21"/>
                <w:szCs w:val="21"/>
              </w:rPr>
              <w:t>具有系统性较强的、校外教师开设的实践教学课程；以及贯穿一个完整学  期的、主要由校内教师开设的实践课程。具有一定规模并定期更新的税务教学案例库，并在税收专业课程中运用案例教学方式。建有校外研究生培养合作基地并组织学生开展实践教学活动。</w:t>
            </w:r>
          </w:p>
        </w:tc>
        <w:tc>
          <w:tcPr>
            <w:tcW w:w="3143" w:type="dxa"/>
          </w:tcPr>
          <w:p>
            <w:pPr>
              <w:spacing w:line="322" w:lineRule="auto"/>
              <w:rPr>
                <w:rFonts w:ascii="宋体" w:hAnsi="宋体" w:eastAsia="宋体"/>
                <w:b/>
                <w:bCs/>
                <w:sz w:val="21"/>
                <w:szCs w:val="21"/>
              </w:rPr>
            </w:pPr>
          </w:p>
        </w:tc>
        <w:tc>
          <w:tcPr>
            <w:tcW w:w="3143" w:type="dxa"/>
          </w:tcPr>
          <w:p>
            <w:pPr>
              <w:spacing w:line="322" w:lineRule="auto"/>
              <w:rPr>
                <w:rFonts w:ascii="宋体" w:hAnsi="宋体" w:eastAsia="宋体"/>
                <w:b/>
                <w:bCs/>
                <w:sz w:val="21"/>
                <w:szCs w:val="21"/>
              </w:rPr>
            </w:pPr>
          </w:p>
        </w:tc>
        <w:tc>
          <w:tcPr>
            <w:tcW w:w="1023"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spacing w:line="322" w:lineRule="auto"/>
              <w:jc w:val="center"/>
              <w:rPr>
                <w:rFonts w:ascii="宋体" w:hAnsi="宋体" w:eastAsia="宋体"/>
                <w:b/>
                <w:bCs/>
                <w:w w:val="98"/>
                <w:sz w:val="21"/>
                <w:szCs w:val="21"/>
              </w:rPr>
            </w:pPr>
            <w:r>
              <w:rPr>
                <w:rFonts w:hint="eastAsia" w:ascii="宋体" w:hAnsi="宋体" w:eastAsia="宋体"/>
                <w:b/>
                <w:bCs/>
                <w:w w:val="98"/>
                <w:sz w:val="21"/>
                <w:szCs w:val="21"/>
              </w:rPr>
              <w:t>□否</w:t>
            </w:r>
          </w:p>
        </w:tc>
        <w:tc>
          <w:tcPr>
            <w:tcW w:w="3310" w:type="dxa"/>
          </w:tcPr>
          <w:p>
            <w:pPr>
              <w:jc w:val="center"/>
              <w:rPr>
                <w:rFonts w:hint="eastAsia" w:ascii="宋体" w:hAnsi="宋体" w:eastAsia="宋体"/>
                <w:b/>
                <w:bCs/>
                <w:w w:val="98"/>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32" w:type="dxa"/>
            <w:vMerge w:val="continue"/>
          </w:tcPr>
          <w:p>
            <w:pPr>
              <w:rPr>
                <w:rFonts w:ascii="宋体" w:hAnsi="宋体" w:eastAsia="宋体"/>
                <w:sz w:val="21"/>
                <w:szCs w:val="21"/>
              </w:rPr>
            </w:pPr>
          </w:p>
        </w:tc>
        <w:tc>
          <w:tcPr>
            <w:tcW w:w="3683" w:type="dxa"/>
          </w:tcPr>
          <w:p>
            <w:pPr>
              <w:rPr>
                <w:rFonts w:ascii="宋体" w:hAnsi="宋体" w:eastAsia="宋体"/>
                <w:b/>
                <w:bCs/>
                <w:sz w:val="21"/>
                <w:szCs w:val="21"/>
              </w:rPr>
            </w:pPr>
            <w:r>
              <w:rPr>
                <w:rFonts w:ascii="宋体" w:hAnsi="宋体" w:eastAsia="宋体"/>
                <w:b/>
                <w:bCs/>
                <w:sz w:val="21"/>
                <w:szCs w:val="21"/>
              </w:rPr>
              <w:t>4.</w:t>
            </w:r>
            <w:r>
              <w:rPr>
                <w:rFonts w:hint="eastAsia" w:ascii="宋体" w:hAnsi="宋体" w:eastAsia="宋体"/>
                <w:b/>
                <w:bCs/>
                <w:sz w:val="21"/>
                <w:szCs w:val="21"/>
              </w:rPr>
              <w:t>9</w:t>
            </w:r>
            <w:r>
              <w:rPr>
                <w:rFonts w:ascii="宋体" w:hAnsi="宋体" w:eastAsia="宋体"/>
                <w:b/>
                <w:bCs/>
                <w:sz w:val="21"/>
                <w:szCs w:val="21"/>
              </w:rPr>
              <w:t xml:space="preserve"> 支撑条件 </w:t>
            </w:r>
          </w:p>
          <w:p>
            <w:pPr>
              <w:rPr>
                <w:rFonts w:ascii="宋体" w:hAnsi="宋体" w:eastAsia="宋体"/>
                <w:sz w:val="21"/>
                <w:szCs w:val="21"/>
              </w:rPr>
            </w:pPr>
            <w:r>
              <w:rPr>
                <w:rFonts w:hint="eastAsia" w:ascii="宋体" w:hAnsi="宋体" w:eastAsia="宋体"/>
                <w:sz w:val="21"/>
                <w:szCs w:val="21"/>
              </w:rPr>
              <w:t>与税务机关、企事业单位和相关行业组织建立稳定的联合培养平台，通过  课程案例库建设、课堂教学、科研课题合作、建立研究生实践创新基地等方式实际参与研究生的培养。具备良好的教学和科研实验条件、纸质和电子图书资料，建有学习网络和学习资源数据库，能满足教学和学生学习、实验的需要。具有满足研究生培养需要的教育经费投入保障机制和完整的研究生奖助学金体系；具有满足研究生培养需要的创新创业机制；具有完备的研究生培养管理与运行机制和职能部门。</w:t>
            </w:r>
          </w:p>
        </w:tc>
        <w:tc>
          <w:tcPr>
            <w:tcW w:w="3143" w:type="dxa"/>
          </w:tcPr>
          <w:p>
            <w:pPr>
              <w:spacing w:line="294" w:lineRule="auto"/>
              <w:rPr>
                <w:rFonts w:ascii="宋体" w:hAnsi="宋体" w:eastAsia="宋体"/>
                <w:b/>
                <w:bCs/>
                <w:sz w:val="21"/>
                <w:szCs w:val="21"/>
              </w:rPr>
            </w:pPr>
          </w:p>
        </w:tc>
        <w:tc>
          <w:tcPr>
            <w:tcW w:w="3143" w:type="dxa"/>
          </w:tcPr>
          <w:p>
            <w:pPr>
              <w:spacing w:line="294" w:lineRule="auto"/>
              <w:rPr>
                <w:rFonts w:ascii="宋体" w:hAnsi="宋体" w:eastAsia="宋体"/>
                <w:b/>
                <w:bCs/>
                <w:sz w:val="21"/>
                <w:szCs w:val="21"/>
              </w:rPr>
            </w:pPr>
          </w:p>
        </w:tc>
        <w:tc>
          <w:tcPr>
            <w:tcW w:w="1023" w:type="dxa"/>
            <w:vAlign w:val="center"/>
          </w:tcPr>
          <w:p>
            <w:pPr>
              <w:jc w:val="center"/>
              <w:rPr>
                <w:rFonts w:ascii="宋体" w:hAnsi="宋体" w:eastAsia="宋体"/>
                <w:b/>
                <w:bCs/>
                <w:w w:val="98"/>
                <w:sz w:val="21"/>
                <w:szCs w:val="21"/>
              </w:rPr>
            </w:pPr>
            <w:r>
              <w:rPr>
                <w:rFonts w:hint="eastAsia" w:ascii="宋体" w:hAnsi="宋体" w:eastAsia="宋体"/>
                <w:b/>
                <w:bCs/>
                <w:w w:val="98"/>
                <w:sz w:val="21"/>
                <w:szCs w:val="21"/>
              </w:rPr>
              <w:t>□是</w:t>
            </w:r>
          </w:p>
          <w:p>
            <w:pPr>
              <w:spacing w:line="294" w:lineRule="auto"/>
              <w:jc w:val="center"/>
              <w:rPr>
                <w:rFonts w:ascii="宋体" w:hAnsi="宋体" w:eastAsia="宋体"/>
                <w:b/>
                <w:bCs/>
                <w:sz w:val="21"/>
                <w:szCs w:val="21"/>
              </w:rPr>
            </w:pPr>
            <w:r>
              <w:rPr>
                <w:rFonts w:hint="eastAsia" w:ascii="宋体" w:hAnsi="宋体" w:eastAsia="宋体"/>
                <w:b/>
                <w:bCs/>
                <w:w w:val="98"/>
                <w:sz w:val="21"/>
                <w:szCs w:val="21"/>
              </w:rPr>
              <w:t>□否</w:t>
            </w:r>
          </w:p>
        </w:tc>
        <w:tc>
          <w:tcPr>
            <w:tcW w:w="3310" w:type="dxa"/>
          </w:tcPr>
          <w:p>
            <w:pPr>
              <w:jc w:val="center"/>
              <w:rPr>
                <w:rFonts w:hint="eastAsia" w:ascii="宋体" w:hAnsi="宋体" w:eastAsia="宋体"/>
                <w:b/>
                <w:bCs/>
                <w:w w:val="98"/>
                <w:sz w:val="21"/>
                <w:szCs w:val="21"/>
              </w:rPr>
            </w:pPr>
          </w:p>
        </w:tc>
      </w:tr>
    </w:tbl>
    <w:p>
      <w:pPr>
        <w:rPr>
          <w:rFonts w:ascii="宋体" w:hAnsi="宋体" w:eastAsia="宋体"/>
        </w:rPr>
      </w:pPr>
    </w:p>
    <w:sectPr>
      <w:footerReference r:id="rId3" w:type="default"/>
      <w:pgSz w:w="16838" w:h="11906" w:orient="landscape"/>
      <w:pgMar w:top="1418" w:right="1134" w:bottom="1418"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6374160"/>
    </w:sdtPr>
    <w:sdtEndPr>
      <w:rPr>
        <w:rFonts w:ascii="Times New Roman" w:hAnsi="Times New Roman" w:cs="Times New Roman"/>
      </w:rPr>
    </w:sdtEndPr>
    <w:sdtContent>
      <w:p>
        <w:pPr>
          <w:pStyle w:val="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3</w:t>
        </w:r>
        <w:r>
          <w:rPr>
            <w:rFonts w:ascii="Times New Roman" w:hAnsi="Times New Roman" w:cs="Times New Roma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mZDMwZTI3MDg0NGJkNzdiMTg5ZDIxMzk1MDU3ZjIifQ=="/>
  </w:docVars>
  <w:rsids>
    <w:rsidRoot w:val="008D6138"/>
    <w:rsid w:val="00020E32"/>
    <w:rsid w:val="00053DBF"/>
    <w:rsid w:val="00213A37"/>
    <w:rsid w:val="002D4482"/>
    <w:rsid w:val="00362B60"/>
    <w:rsid w:val="00597B26"/>
    <w:rsid w:val="00646483"/>
    <w:rsid w:val="006A7697"/>
    <w:rsid w:val="007057FB"/>
    <w:rsid w:val="007D58C0"/>
    <w:rsid w:val="007E03E5"/>
    <w:rsid w:val="007E6C68"/>
    <w:rsid w:val="00817BE4"/>
    <w:rsid w:val="008656FD"/>
    <w:rsid w:val="008D6138"/>
    <w:rsid w:val="0092156B"/>
    <w:rsid w:val="009B13B9"/>
    <w:rsid w:val="00A57430"/>
    <w:rsid w:val="00C20324"/>
    <w:rsid w:val="00DF2B8A"/>
    <w:rsid w:val="00F877C4"/>
    <w:rsid w:val="0C625124"/>
    <w:rsid w:val="14C76DE3"/>
    <w:rsid w:val="15305968"/>
    <w:rsid w:val="17434231"/>
    <w:rsid w:val="27542145"/>
    <w:rsid w:val="32D04823"/>
    <w:rsid w:val="4DDC2449"/>
    <w:rsid w:val="60A10A8A"/>
    <w:rsid w:val="6D624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ind w:left="104"/>
    </w:pPr>
    <w:rPr>
      <w:rFonts w:ascii="宋体" w:hAnsi="宋体" w:eastAsia="宋体" w:cs="宋体"/>
      <w:sz w:val="21"/>
      <w:szCs w:val="21"/>
    </w:rPr>
  </w:style>
  <w:style w:type="paragraph" w:styleId="3">
    <w:name w:val="Balloon Text"/>
    <w:basedOn w:val="1"/>
    <w:link w:val="11"/>
    <w:semiHidden/>
    <w:unhideWhenUsed/>
    <w:qFormat/>
    <w:uiPriority w:val="99"/>
    <w:rPr>
      <w:sz w:val="18"/>
      <w:szCs w:val="18"/>
    </w:rPr>
  </w:style>
  <w:style w:type="paragraph" w:styleId="4">
    <w:name w:val="footer"/>
    <w:basedOn w:val="1"/>
    <w:link w:val="9"/>
    <w:unhideWhenUsed/>
    <w:qFormat/>
    <w:uiPriority w:val="99"/>
    <w:pPr>
      <w:widowControl w:val="0"/>
      <w:tabs>
        <w:tab w:val="center" w:pos="4153"/>
        <w:tab w:val="right" w:pos="8306"/>
      </w:tabs>
      <w:snapToGrid w:val="0"/>
    </w:pPr>
    <w:rPr>
      <w:rFonts w:asciiTheme="minorHAnsi" w:hAnsiTheme="minorHAnsi" w:cstheme="minorBidi"/>
      <w:kern w:val="2"/>
      <w:sz w:val="18"/>
      <w:szCs w:val="18"/>
    </w:rPr>
  </w:style>
  <w:style w:type="paragraph" w:styleId="5">
    <w:name w:val="header"/>
    <w:basedOn w:val="1"/>
    <w:link w:val="8"/>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cstheme="minorBidi"/>
      <w:kern w:val="2"/>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paragraph" w:styleId="10">
    <w:name w:val="List Paragraph"/>
    <w:basedOn w:val="1"/>
    <w:qFormat/>
    <w:uiPriority w:val="1"/>
    <w:pPr>
      <w:ind w:left="104" w:firstLine="420"/>
      <w:jc w:val="both"/>
    </w:pPr>
    <w:rPr>
      <w:rFonts w:ascii="宋体" w:hAnsi="宋体" w:eastAsia="宋体" w:cs="宋体"/>
    </w:rPr>
  </w:style>
  <w:style w:type="character" w:customStyle="1" w:styleId="11">
    <w:name w:val="批注框文本 字符"/>
    <w:basedOn w:val="7"/>
    <w:link w:val="3"/>
    <w:semiHidden/>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294</Words>
  <Characters>1682</Characters>
  <Lines>14</Lines>
  <Paragraphs>3</Paragraphs>
  <TotalTime>1</TotalTime>
  <ScaleCrop>false</ScaleCrop>
  <LinksUpToDate>false</LinksUpToDate>
  <CharactersWithSpaces>1973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2020-10-12T12:59:00Z</dcterms:created>
  <dc:creator>温 超东</dc:creator>
  <cp:lastModifiedBy>hbue</cp:lastModifiedBy>
  <dcterms:modified xsi:type="dcterms:W3CDTF">2022-06-21T08:58:33Z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FA6E5B5585894B2ABDB00BBF3ABCDD86</vt:lpwstr>
  </property>
</Properties>
</file>