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9" w:lineRule="auto"/>
        <w:jc w:val="center"/>
        <w:rPr>
          <w:rFonts w:ascii="黑体" w:hAnsi="黑体" w:eastAsia="黑体"/>
          <w:b/>
          <w:bCs/>
          <w:sz w:val="32"/>
          <w:szCs w:val="32"/>
        </w:rPr>
      </w:pPr>
      <w:r>
        <w:rPr>
          <w:rFonts w:ascii="黑体" w:hAnsi="黑体" w:eastAsia="黑体"/>
          <w:b/>
          <w:bCs/>
          <w:sz w:val="32"/>
          <w:szCs w:val="32"/>
        </w:rPr>
        <w:t>申请新增</w:t>
      </w:r>
      <w:r>
        <w:rPr>
          <w:rFonts w:hint="eastAsia" w:ascii="黑体" w:hAnsi="黑体" w:eastAsia="黑体"/>
          <w:b/>
          <w:bCs/>
          <w:sz w:val="32"/>
          <w:szCs w:val="32"/>
        </w:rPr>
        <w:t>应用统计硕士专业</w:t>
      </w:r>
      <w:r>
        <w:rPr>
          <w:rFonts w:ascii="黑体" w:hAnsi="黑体" w:eastAsia="黑体"/>
          <w:b/>
          <w:bCs/>
          <w:sz w:val="32"/>
          <w:szCs w:val="32"/>
        </w:rPr>
        <w:t>学位授权点基本条件</w:t>
      </w:r>
      <w:r>
        <w:rPr>
          <w:rFonts w:hint="eastAsia" w:ascii="黑体" w:hAnsi="黑体" w:eastAsia="黑体" w:cs="黑体"/>
          <w:b/>
          <w:bCs/>
          <w:sz w:val="32"/>
          <w:szCs w:val="32"/>
          <w:lang w:val="en-US" w:eastAsia="zh-CN"/>
        </w:rPr>
        <w:t>建设清单</w:t>
      </w:r>
    </w:p>
    <w:p>
      <w:pPr>
        <w:spacing w:line="329" w:lineRule="auto"/>
        <w:ind w:firstLine="482" w:firstLineChars="200"/>
        <w:rPr>
          <w:rFonts w:ascii="宋体" w:hAnsi="宋体" w:eastAsia="宋体"/>
          <w:b/>
          <w:bCs/>
          <w:sz w:val="24"/>
          <w:szCs w:val="24"/>
        </w:rPr>
      </w:pPr>
      <w:r>
        <w:rPr>
          <w:rFonts w:hint="eastAsia" w:ascii="宋体" w:hAnsi="宋体" w:eastAsia="宋体"/>
          <w:b/>
          <w:bCs/>
          <w:sz w:val="24"/>
          <w:szCs w:val="24"/>
        </w:rPr>
        <w:t>学位点代码：0252</w:t>
      </w:r>
      <w:r>
        <w:rPr>
          <w:rFonts w:ascii="宋体" w:hAnsi="宋体" w:eastAsia="宋体"/>
          <w:b/>
          <w:bCs/>
          <w:sz w:val="24"/>
          <w:szCs w:val="24"/>
        </w:rPr>
        <w:t xml:space="preserve">                          </w:t>
      </w:r>
      <w:r>
        <w:rPr>
          <w:rFonts w:hint="eastAsia" w:ascii="宋体" w:hAnsi="宋体" w:eastAsia="宋体"/>
          <w:b/>
          <w:bCs/>
          <w:sz w:val="24"/>
          <w:szCs w:val="24"/>
        </w:rPr>
        <w:t>学位点名称：应用统计</w:t>
      </w:r>
    </w:p>
    <w:tbl>
      <w:tblPr>
        <w:tblStyle w:val="6"/>
        <w:tblW w:w="15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32"/>
        <w:gridCol w:w="3869"/>
        <w:gridCol w:w="3179"/>
        <w:gridCol w:w="3179"/>
        <w:gridCol w:w="1060"/>
        <w:gridCol w:w="3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1" w:hRule="atLeast"/>
          <w:jc w:val="center"/>
        </w:trPr>
        <w:tc>
          <w:tcPr>
            <w:tcW w:w="4301" w:type="dxa"/>
            <w:gridSpan w:val="2"/>
            <w:vAlign w:val="center"/>
          </w:tcPr>
          <w:p>
            <w:pPr>
              <w:jc w:val="center"/>
              <w:rPr>
                <w:rFonts w:ascii="宋体" w:hAnsi="宋体" w:eastAsia="宋体"/>
                <w:b/>
                <w:bCs/>
                <w:sz w:val="21"/>
                <w:szCs w:val="21"/>
              </w:rPr>
            </w:pPr>
            <w:r>
              <w:rPr>
                <w:rFonts w:ascii="宋体" w:hAnsi="宋体" w:eastAsia="宋体"/>
                <w:b/>
                <w:bCs/>
                <w:sz w:val="21"/>
                <w:szCs w:val="21"/>
              </w:rPr>
              <w:t>申请基本条件</w:t>
            </w:r>
          </w:p>
        </w:tc>
        <w:tc>
          <w:tcPr>
            <w:tcW w:w="3179" w:type="dxa"/>
            <w:vAlign w:val="center"/>
          </w:tcPr>
          <w:p>
            <w:pPr>
              <w:jc w:val="center"/>
              <w:rPr>
                <w:rFonts w:hint="eastAsia" w:ascii="宋体" w:hAnsi="宋体" w:eastAsia="宋体" w:cs="Times New Roman"/>
                <w:b/>
                <w:bCs/>
                <w:sz w:val="21"/>
                <w:szCs w:val="21"/>
                <w:lang w:val="en-US" w:eastAsia="zh-CN" w:bidi="ar-SA"/>
              </w:rPr>
            </w:pPr>
            <w:r>
              <w:rPr>
                <w:rFonts w:hint="eastAsia" w:ascii="宋体" w:hAnsi="宋体" w:eastAsia="宋体"/>
                <w:b/>
                <w:bCs/>
                <w:sz w:val="21"/>
                <w:szCs w:val="21"/>
                <w:lang w:val="en-US" w:eastAsia="zh-CN"/>
              </w:rPr>
              <w:t>2022年1至6月建设成果（逐项列举）</w:t>
            </w:r>
          </w:p>
        </w:tc>
        <w:tc>
          <w:tcPr>
            <w:tcW w:w="3179" w:type="dxa"/>
            <w:vAlign w:val="center"/>
          </w:tcPr>
          <w:p>
            <w:pPr>
              <w:jc w:val="center"/>
              <w:rPr>
                <w:rFonts w:ascii="宋体" w:hAnsi="宋体" w:eastAsia="宋体" w:cs="Times New Roman"/>
                <w:b/>
                <w:bCs/>
                <w:sz w:val="21"/>
                <w:szCs w:val="21"/>
                <w:lang w:val="en-US" w:eastAsia="zh-CN" w:bidi="ar-SA"/>
              </w:rPr>
            </w:pPr>
            <w:r>
              <w:rPr>
                <w:rFonts w:hint="eastAsia" w:ascii="宋体" w:hAnsi="宋体" w:eastAsia="宋体"/>
                <w:b/>
                <w:bCs/>
                <w:sz w:val="21"/>
                <w:szCs w:val="21"/>
              </w:rPr>
              <w:t>学科现状</w:t>
            </w:r>
            <w:r>
              <w:rPr>
                <w:rFonts w:hint="eastAsia" w:ascii="宋体" w:hAnsi="宋体" w:eastAsia="宋体"/>
                <w:b/>
                <w:bCs/>
                <w:sz w:val="21"/>
                <w:szCs w:val="21"/>
                <w:lang w:val="en-US" w:eastAsia="zh-CN"/>
              </w:rPr>
              <w:t>及差距</w:t>
            </w:r>
            <w:bookmarkStart w:id="0" w:name="_GoBack"/>
            <w:bookmarkEnd w:id="0"/>
            <w:r>
              <w:rPr>
                <w:rFonts w:hint="eastAsia" w:ascii="宋体" w:hAnsi="宋体" w:eastAsia="宋体"/>
                <w:b/>
                <w:bCs/>
                <w:sz w:val="21"/>
                <w:szCs w:val="21"/>
              </w:rPr>
              <w:t>（根据申请基本条件，逐项描述达标情况）</w:t>
            </w:r>
          </w:p>
        </w:tc>
        <w:tc>
          <w:tcPr>
            <w:tcW w:w="1060" w:type="dxa"/>
            <w:vAlign w:val="center"/>
          </w:tcPr>
          <w:p>
            <w:pPr>
              <w:jc w:val="center"/>
              <w:rPr>
                <w:rFonts w:ascii="宋体" w:hAnsi="宋体" w:eastAsia="宋体"/>
                <w:b/>
                <w:bCs/>
                <w:sz w:val="21"/>
                <w:szCs w:val="21"/>
              </w:rPr>
            </w:pPr>
            <w:r>
              <w:rPr>
                <w:rFonts w:hint="eastAsia" w:ascii="宋体" w:hAnsi="宋体" w:eastAsia="宋体"/>
                <w:b/>
                <w:bCs/>
                <w:sz w:val="21"/>
                <w:szCs w:val="21"/>
              </w:rPr>
              <w:t>自审是否达标 （√）</w:t>
            </w:r>
          </w:p>
        </w:tc>
        <w:tc>
          <w:tcPr>
            <w:tcW w:w="3357" w:type="dxa"/>
            <w:vAlign w:val="center"/>
          </w:tcPr>
          <w:p>
            <w:pPr>
              <w:jc w:val="center"/>
              <w:rPr>
                <w:rFonts w:hint="eastAsia" w:ascii="宋体" w:hAnsi="宋体" w:eastAsia="宋体"/>
                <w:b/>
                <w:bCs/>
                <w:sz w:val="21"/>
                <w:szCs w:val="21"/>
              </w:rPr>
            </w:pPr>
            <w:r>
              <w:rPr>
                <w:rFonts w:hint="eastAsia" w:ascii="宋体" w:hAnsi="宋体" w:eastAsia="宋体"/>
                <w:b/>
                <w:bCs/>
                <w:sz w:val="21"/>
                <w:szCs w:val="21"/>
              </w:rPr>
              <w:t>拟采取措施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tcPr>
          <w:p>
            <w:pPr>
              <w:rPr>
                <w:rFonts w:ascii="宋体" w:hAnsi="宋体" w:eastAsia="宋体"/>
                <w:b/>
                <w:bCs/>
                <w:sz w:val="21"/>
                <w:szCs w:val="21"/>
              </w:rPr>
            </w:pPr>
            <w:r>
              <w:rPr>
                <w:rFonts w:ascii="宋体" w:hAnsi="宋体" w:eastAsia="宋体"/>
                <w:b/>
                <w:bCs/>
                <w:sz w:val="21"/>
                <w:szCs w:val="21"/>
              </w:rPr>
              <w:t>1.</w:t>
            </w:r>
            <w:r>
              <w:rPr>
                <w:rFonts w:hint="eastAsia" w:ascii="宋体" w:hAnsi="宋体" w:eastAsia="宋体"/>
                <w:b/>
                <w:bCs/>
                <w:sz w:val="21"/>
                <w:szCs w:val="21"/>
              </w:rPr>
              <w:t>专业</w:t>
            </w:r>
            <w:r>
              <w:rPr>
                <w:rFonts w:ascii="宋体" w:hAnsi="宋体" w:eastAsia="宋体"/>
                <w:b/>
                <w:bCs/>
                <w:sz w:val="21"/>
                <w:szCs w:val="21"/>
              </w:rPr>
              <w:t>特色</w:t>
            </w:r>
          </w:p>
        </w:tc>
        <w:tc>
          <w:tcPr>
            <w:tcW w:w="3869" w:type="dxa"/>
          </w:tcPr>
          <w:p>
            <w:pPr>
              <w:rPr>
                <w:rFonts w:ascii="宋体" w:hAnsi="宋体" w:eastAsia="宋体"/>
                <w:b/>
                <w:bCs/>
                <w:sz w:val="21"/>
                <w:szCs w:val="21"/>
              </w:rPr>
            </w:pPr>
            <w:r>
              <w:rPr>
                <w:rFonts w:ascii="宋体" w:hAnsi="宋体" w:eastAsia="宋体"/>
                <w:b/>
                <w:bCs/>
                <w:sz w:val="21"/>
                <w:szCs w:val="21"/>
              </w:rPr>
              <w:t>1.1</w:t>
            </w:r>
            <w:r>
              <w:rPr>
                <w:rFonts w:hint="eastAsia" w:ascii="宋体" w:hAnsi="宋体" w:eastAsia="宋体"/>
                <w:b/>
                <w:bCs/>
                <w:sz w:val="21"/>
                <w:szCs w:val="21"/>
              </w:rPr>
              <w:t>专业特色</w:t>
            </w:r>
          </w:p>
          <w:p>
            <w:pPr>
              <w:rPr>
                <w:rFonts w:ascii="宋体" w:hAnsi="宋体" w:eastAsia="宋体"/>
                <w:sz w:val="21"/>
                <w:szCs w:val="21"/>
              </w:rPr>
            </w:pPr>
            <w:r>
              <w:rPr>
                <w:rFonts w:ascii="宋体" w:hAnsi="宋体" w:eastAsia="宋体"/>
                <w:sz w:val="21"/>
                <w:szCs w:val="21"/>
              </w:rPr>
              <w:t>应用统计硕士的培养，以现代统计理论和先进统计分析方法为基础，体现统计学与相关学科领域相结合，复合性与实践性紧密结合，适应互联网等大数据的学科发展； 统计师、精算师、数据工程师，以及首席数据执行官，已经成为应用统计专业硕士职业发展的标志性岗位。人才培养领域应包括：金融统计和风险管理、经济与社会统计、工业统计和质量控制、生物医学统计、大数据分析等；应体现出本校办学定位和专业特色。</w:t>
            </w:r>
          </w:p>
        </w:tc>
        <w:tc>
          <w:tcPr>
            <w:tcW w:w="3179" w:type="dxa"/>
          </w:tcPr>
          <w:p>
            <w:pPr>
              <w:ind w:left="100"/>
              <w:jc w:val="both"/>
              <w:rPr>
                <w:rFonts w:ascii="宋体" w:hAnsi="宋体" w:eastAsia="宋体"/>
                <w:b/>
                <w:bCs/>
                <w:w w:val="98"/>
                <w:sz w:val="21"/>
                <w:szCs w:val="21"/>
              </w:rPr>
            </w:pPr>
          </w:p>
        </w:tc>
        <w:tc>
          <w:tcPr>
            <w:tcW w:w="3179" w:type="dxa"/>
          </w:tcPr>
          <w:p>
            <w:pPr>
              <w:ind w:left="100"/>
              <w:jc w:val="both"/>
              <w:rPr>
                <w:rFonts w:ascii="宋体" w:hAnsi="宋体" w:eastAsia="宋体"/>
                <w:b/>
                <w:bCs/>
                <w:w w:val="98"/>
                <w:sz w:val="21"/>
                <w:szCs w:val="21"/>
              </w:rPr>
            </w:pPr>
          </w:p>
        </w:tc>
        <w:tc>
          <w:tcPr>
            <w:tcW w:w="1060"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357"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2.</w:t>
            </w:r>
            <w:r>
              <w:rPr>
                <w:rFonts w:hint="eastAsia" w:ascii="宋体" w:hAnsi="宋体" w:eastAsia="宋体"/>
                <w:b/>
                <w:bCs/>
                <w:sz w:val="21"/>
                <w:szCs w:val="21"/>
              </w:rPr>
              <w:t>师资</w:t>
            </w:r>
            <w:r>
              <w:rPr>
                <w:rFonts w:ascii="宋体" w:hAnsi="宋体" w:eastAsia="宋体"/>
                <w:b/>
                <w:bCs/>
                <w:sz w:val="21"/>
                <w:szCs w:val="21"/>
              </w:rPr>
              <w:t>队伍</w:t>
            </w:r>
          </w:p>
        </w:tc>
        <w:tc>
          <w:tcPr>
            <w:tcW w:w="3869" w:type="dxa"/>
          </w:tcPr>
          <w:p>
            <w:pPr>
              <w:rPr>
                <w:rFonts w:ascii="宋体" w:hAnsi="宋体" w:eastAsia="宋体"/>
                <w:b/>
                <w:bCs/>
                <w:sz w:val="21"/>
                <w:szCs w:val="21"/>
              </w:rPr>
            </w:pPr>
            <w:r>
              <w:rPr>
                <w:rFonts w:ascii="宋体" w:hAnsi="宋体" w:eastAsia="宋体"/>
                <w:b/>
                <w:bCs/>
                <w:sz w:val="21"/>
                <w:szCs w:val="21"/>
              </w:rPr>
              <w:t>2.</w:t>
            </w:r>
            <w:r>
              <w:rPr>
                <w:rFonts w:hint="eastAsia" w:ascii="宋体" w:hAnsi="宋体" w:eastAsia="宋体"/>
                <w:b/>
                <w:bCs/>
                <w:sz w:val="21"/>
                <w:szCs w:val="21"/>
              </w:rPr>
              <w:t>2</w:t>
            </w:r>
            <w:r>
              <w:rPr>
                <w:rFonts w:ascii="宋体" w:hAnsi="宋体" w:eastAsia="宋体"/>
                <w:b/>
                <w:bCs/>
                <w:sz w:val="21"/>
                <w:szCs w:val="21"/>
              </w:rPr>
              <w:t>人员规模</w:t>
            </w:r>
          </w:p>
          <w:p>
            <w:pPr>
              <w:rPr>
                <w:rFonts w:ascii="宋体" w:hAnsi="宋体" w:eastAsia="宋体"/>
                <w:sz w:val="21"/>
                <w:szCs w:val="21"/>
              </w:rPr>
            </w:pPr>
            <w:r>
              <w:rPr>
                <w:rFonts w:hint="eastAsia" w:ascii="宋体" w:hAnsi="宋体" w:eastAsia="宋体"/>
                <w:sz w:val="21"/>
                <w:szCs w:val="21"/>
              </w:rPr>
              <w:t>专任教师不少于 15 人，外聘行业教师不少于 5 人。</w:t>
            </w:r>
          </w:p>
        </w:tc>
        <w:tc>
          <w:tcPr>
            <w:tcW w:w="3179" w:type="dxa"/>
          </w:tcPr>
          <w:p>
            <w:pPr>
              <w:ind w:left="100"/>
              <w:jc w:val="both"/>
              <w:rPr>
                <w:rFonts w:ascii="宋体" w:hAnsi="宋体" w:eastAsia="宋体"/>
                <w:b/>
                <w:bCs/>
                <w:w w:val="98"/>
                <w:sz w:val="21"/>
                <w:szCs w:val="21"/>
              </w:rPr>
            </w:pPr>
          </w:p>
        </w:tc>
        <w:tc>
          <w:tcPr>
            <w:tcW w:w="3179" w:type="dxa"/>
          </w:tcPr>
          <w:p>
            <w:pPr>
              <w:ind w:left="100"/>
              <w:jc w:val="both"/>
              <w:rPr>
                <w:rFonts w:ascii="宋体" w:hAnsi="宋体" w:eastAsia="宋体"/>
                <w:b/>
                <w:bCs/>
                <w:w w:val="98"/>
                <w:sz w:val="21"/>
                <w:szCs w:val="21"/>
              </w:rPr>
            </w:pPr>
          </w:p>
        </w:tc>
        <w:tc>
          <w:tcPr>
            <w:tcW w:w="1060"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357"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3869" w:type="dxa"/>
          </w:tcPr>
          <w:p>
            <w:pPr>
              <w:rPr>
                <w:rFonts w:ascii="宋体" w:hAnsi="宋体" w:eastAsia="宋体"/>
                <w:b/>
                <w:bCs/>
                <w:sz w:val="21"/>
                <w:szCs w:val="21"/>
              </w:rPr>
            </w:pPr>
            <w:r>
              <w:rPr>
                <w:rFonts w:ascii="宋体" w:hAnsi="宋体" w:eastAsia="宋体"/>
                <w:b/>
                <w:bCs/>
                <w:sz w:val="21"/>
                <w:szCs w:val="21"/>
              </w:rPr>
              <w:t>2.</w:t>
            </w:r>
            <w:r>
              <w:rPr>
                <w:rFonts w:hint="eastAsia" w:ascii="宋体" w:hAnsi="宋体" w:eastAsia="宋体"/>
                <w:b/>
                <w:bCs/>
                <w:sz w:val="21"/>
                <w:szCs w:val="21"/>
              </w:rPr>
              <w:t>3</w:t>
            </w:r>
            <w:r>
              <w:rPr>
                <w:rFonts w:ascii="宋体" w:hAnsi="宋体" w:eastAsia="宋体"/>
                <w:b/>
                <w:bCs/>
                <w:sz w:val="21"/>
                <w:szCs w:val="21"/>
              </w:rPr>
              <w:t>人员结构</w:t>
            </w:r>
          </w:p>
          <w:p>
            <w:pPr>
              <w:rPr>
                <w:rFonts w:ascii="宋体" w:hAnsi="宋体" w:eastAsia="宋体"/>
                <w:sz w:val="21"/>
                <w:szCs w:val="21"/>
              </w:rPr>
            </w:pPr>
            <w:r>
              <w:rPr>
                <w:rFonts w:ascii="宋体" w:hAnsi="宋体" w:eastAsia="宋体"/>
                <w:sz w:val="21"/>
                <w:szCs w:val="21"/>
              </w:rPr>
              <w:t>专任教师队伍中 45 岁以下人员不低于40%，至少60%的教师应有博士学位，具有应用统计研究背景的教学人员不低于60%，具有高级专业技术职称的教学人员不低于40%。外聘行业教师中具有高级职称的人员不低于 50%，外聘行业教师在各级政府统计部门、科研部门、调查或数据公司、互联网公司、大中型企业等单位、机构从业时间不少于 8 年。</w:t>
            </w:r>
          </w:p>
        </w:tc>
        <w:tc>
          <w:tcPr>
            <w:tcW w:w="3179" w:type="dxa"/>
          </w:tcPr>
          <w:p>
            <w:pPr>
              <w:ind w:left="100"/>
              <w:jc w:val="both"/>
              <w:rPr>
                <w:rFonts w:ascii="宋体" w:hAnsi="宋体" w:eastAsia="宋体"/>
                <w:b/>
                <w:bCs/>
                <w:w w:val="98"/>
                <w:sz w:val="21"/>
                <w:szCs w:val="21"/>
              </w:rPr>
            </w:pPr>
          </w:p>
        </w:tc>
        <w:tc>
          <w:tcPr>
            <w:tcW w:w="3179" w:type="dxa"/>
          </w:tcPr>
          <w:p>
            <w:pPr>
              <w:ind w:left="100"/>
              <w:jc w:val="both"/>
              <w:rPr>
                <w:rFonts w:ascii="宋体" w:hAnsi="宋体" w:eastAsia="宋体"/>
                <w:b/>
                <w:bCs/>
                <w:w w:val="98"/>
                <w:sz w:val="21"/>
                <w:szCs w:val="21"/>
              </w:rPr>
            </w:pPr>
          </w:p>
        </w:tc>
        <w:tc>
          <w:tcPr>
            <w:tcW w:w="1060"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357"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3869" w:type="dxa"/>
          </w:tcPr>
          <w:p>
            <w:pPr>
              <w:rPr>
                <w:rFonts w:ascii="宋体" w:hAnsi="宋体" w:eastAsia="宋体"/>
                <w:b/>
                <w:bCs/>
                <w:sz w:val="21"/>
                <w:szCs w:val="21"/>
              </w:rPr>
            </w:pPr>
            <w:r>
              <w:rPr>
                <w:rFonts w:ascii="宋体" w:hAnsi="宋体" w:eastAsia="宋体"/>
                <w:b/>
                <w:bCs/>
                <w:sz w:val="21"/>
                <w:szCs w:val="21"/>
              </w:rPr>
              <w:t>2.</w:t>
            </w:r>
            <w:r>
              <w:rPr>
                <w:rFonts w:hint="eastAsia" w:ascii="宋体" w:hAnsi="宋体" w:eastAsia="宋体"/>
                <w:b/>
                <w:bCs/>
                <w:sz w:val="21"/>
                <w:szCs w:val="21"/>
              </w:rPr>
              <w:t>4骨干教师</w:t>
            </w:r>
          </w:p>
          <w:p>
            <w:pPr>
              <w:rPr>
                <w:rFonts w:ascii="宋体" w:hAnsi="宋体" w:eastAsia="宋体"/>
                <w:sz w:val="21"/>
                <w:szCs w:val="21"/>
              </w:rPr>
            </w:pPr>
            <w:r>
              <w:rPr>
                <w:rFonts w:ascii="宋体" w:hAnsi="宋体" w:eastAsia="宋体"/>
                <w:sz w:val="21"/>
                <w:szCs w:val="21"/>
              </w:rPr>
              <w:t>应主持省部级以上应用性项目或国家级科研课题，或在相关领域方向主持获得过省（部）级及以上科技奖励或荣誉称号，或近 5 年在国内外高水平期刊发表论文 2 篇以上，并在相关领域的学术团体担任主要职务；每个培养领域的骨干教师不少于 3 位，并均应具有 2 年以上在相关学科招收培养硕士研究生，或在其他单位招收培养应用统计专业学位硕士研究生经历。</w:t>
            </w:r>
          </w:p>
        </w:tc>
        <w:tc>
          <w:tcPr>
            <w:tcW w:w="3179" w:type="dxa"/>
          </w:tcPr>
          <w:p>
            <w:pPr>
              <w:ind w:left="100"/>
              <w:jc w:val="both"/>
              <w:rPr>
                <w:rFonts w:ascii="宋体" w:hAnsi="宋体" w:eastAsia="宋体"/>
                <w:b/>
                <w:bCs/>
                <w:w w:val="98"/>
                <w:sz w:val="21"/>
                <w:szCs w:val="21"/>
              </w:rPr>
            </w:pPr>
          </w:p>
        </w:tc>
        <w:tc>
          <w:tcPr>
            <w:tcW w:w="3179" w:type="dxa"/>
          </w:tcPr>
          <w:p>
            <w:pPr>
              <w:ind w:left="100"/>
              <w:jc w:val="both"/>
              <w:rPr>
                <w:rFonts w:ascii="宋体" w:hAnsi="宋体" w:eastAsia="宋体"/>
                <w:b/>
                <w:bCs/>
                <w:w w:val="98"/>
                <w:sz w:val="21"/>
                <w:szCs w:val="21"/>
              </w:rPr>
            </w:pPr>
          </w:p>
        </w:tc>
        <w:tc>
          <w:tcPr>
            <w:tcW w:w="1060"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357"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3.人才培养</w:t>
            </w:r>
          </w:p>
        </w:tc>
        <w:tc>
          <w:tcPr>
            <w:tcW w:w="3869" w:type="dxa"/>
          </w:tcPr>
          <w:p>
            <w:pPr>
              <w:rPr>
                <w:rFonts w:ascii="宋体" w:hAnsi="宋体" w:eastAsia="宋体"/>
                <w:b/>
                <w:bCs/>
                <w:sz w:val="21"/>
                <w:szCs w:val="21"/>
              </w:rPr>
            </w:pPr>
            <w:r>
              <w:rPr>
                <w:rFonts w:ascii="宋体" w:hAnsi="宋体" w:eastAsia="宋体"/>
                <w:b/>
                <w:bCs/>
                <w:sz w:val="21"/>
                <w:szCs w:val="21"/>
              </w:rPr>
              <w:t>3.</w:t>
            </w:r>
            <w:r>
              <w:rPr>
                <w:rFonts w:hint="eastAsia" w:ascii="宋体" w:hAnsi="宋体" w:eastAsia="宋体"/>
                <w:b/>
                <w:bCs/>
                <w:sz w:val="21"/>
                <w:szCs w:val="21"/>
              </w:rPr>
              <w:t>5课程与教学</w:t>
            </w:r>
          </w:p>
          <w:p>
            <w:pPr>
              <w:rPr>
                <w:rFonts w:ascii="宋体" w:hAnsi="宋体" w:eastAsia="宋体"/>
                <w:sz w:val="21"/>
                <w:szCs w:val="21"/>
              </w:rPr>
            </w:pPr>
            <w:r>
              <w:rPr>
                <w:rFonts w:ascii="宋体" w:hAnsi="宋体" w:eastAsia="宋体"/>
                <w:sz w:val="21"/>
                <w:szCs w:val="21"/>
              </w:rPr>
              <w:t>应至少已有统计学本科专业 2 个，并有 5 届以上的毕业生，培养的本科生分别不少于 150 人，具有开设相关课程的积累。能够依据《应用统计硕士指导性培养方案》的要求，紧密围绕提升研究生的实践能力和创新能力，针对拟办学领域方向的特色制定培养方案，建立完善的课程体系，并能采用课程讲授、专题讲座、专题研讨、案例分析、现场调研等教学方式，有完整的课程教学管理、考核和评价体系。</w:t>
            </w:r>
          </w:p>
        </w:tc>
        <w:tc>
          <w:tcPr>
            <w:tcW w:w="3179" w:type="dxa"/>
          </w:tcPr>
          <w:p>
            <w:pPr>
              <w:ind w:left="100"/>
              <w:jc w:val="both"/>
              <w:rPr>
                <w:rFonts w:ascii="宋体" w:hAnsi="宋体" w:eastAsia="宋体"/>
                <w:b/>
                <w:bCs/>
                <w:w w:val="98"/>
                <w:sz w:val="21"/>
                <w:szCs w:val="21"/>
              </w:rPr>
            </w:pPr>
          </w:p>
        </w:tc>
        <w:tc>
          <w:tcPr>
            <w:tcW w:w="3179" w:type="dxa"/>
          </w:tcPr>
          <w:p>
            <w:pPr>
              <w:ind w:left="100"/>
              <w:jc w:val="both"/>
              <w:rPr>
                <w:rFonts w:ascii="宋体" w:hAnsi="宋体" w:eastAsia="宋体"/>
                <w:b/>
                <w:bCs/>
                <w:w w:val="98"/>
                <w:sz w:val="21"/>
                <w:szCs w:val="21"/>
              </w:rPr>
            </w:pPr>
          </w:p>
        </w:tc>
        <w:tc>
          <w:tcPr>
            <w:tcW w:w="1060"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357"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3869" w:type="dxa"/>
          </w:tcPr>
          <w:p>
            <w:pPr>
              <w:rPr>
                <w:rFonts w:ascii="宋体" w:hAnsi="宋体" w:eastAsia="宋体"/>
                <w:b/>
                <w:bCs/>
                <w:sz w:val="21"/>
                <w:szCs w:val="21"/>
              </w:rPr>
            </w:pPr>
            <w:r>
              <w:rPr>
                <w:rFonts w:ascii="宋体" w:hAnsi="宋体" w:eastAsia="宋体"/>
                <w:b/>
                <w:bCs/>
                <w:sz w:val="21"/>
                <w:szCs w:val="21"/>
              </w:rPr>
              <w:t>3.</w:t>
            </w:r>
            <w:r>
              <w:rPr>
                <w:rFonts w:hint="eastAsia" w:ascii="宋体" w:hAnsi="宋体" w:eastAsia="宋体"/>
                <w:b/>
                <w:bCs/>
                <w:sz w:val="21"/>
                <w:szCs w:val="21"/>
              </w:rPr>
              <w:t>6培养质量</w:t>
            </w:r>
          </w:p>
          <w:p>
            <w:pPr>
              <w:rPr>
                <w:rFonts w:ascii="宋体" w:hAnsi="宋体" w:eastAsia="宋体"/>
                <w:sz w:val="21"/>
                <w:szCs w:val="21"/>
              </w:rPr>
            </w:pPr>
            <w:r>
              <w:rPr>
                <w:rFonts w:hint="eastAsia" w:ascii="宋体" w:hAnsi="宋体" w:eastAsia="宋体"/>
                <w:sz w:val="21"/>
                <w:szCs w:val="21"/>
              </w:rPr>
              <w:t>就业率较高；毕业生获得奖励和荣誉、发表论文、参与应用统计相关的社会服务等方面具有良好表现，且用人单位社会评价良好；近5年相关学科或专业的教学活动中应获得过省部级及以上级别教学成果奖励。</w:t>
            </w:r>
          </w:p>
        </w:tc>
        <w:tc>
          <w:tcPr>
            <w:tcW w:w="3179" w:type="dxa"/>
          </w:tcPr>
          <w:p>
            <w:pPr>
              <w:ind w:left="100"/>
              <w:jc w:val="both"/>
              <w:rPr>
                <w:rFonts w:ascii="宋体" w:hAnsi="宋体" w:eastAsia="宋体"/>
                <w:b/>
                <w:bCs/>
                <w:w w:val="98"/>
                <w:sz w:val="21"/>
                <w:szCs w:val="21"/>
              </w:rPr>
            </w:pPr>
          </w:p>
        </w:tc>
        <w:tc>
          <w:tcPr>
            <w:tcW w:w="3179" w:type="dxa"/>
          </w:tcPr>
          <w:p>
            <w:pPr>
              <w:ind w:left="100"/>
              <w:jc w:val="both"/>
              <w:rPr>
                <w:rFonts w:ascii="宋体" w:hAnsi="宋体" w:eastAsia="宋体"/>
                <w:b/>
                <w:bCs/>
                <w:w w:val="98"/>
                <w:sz w:val="21"/>
                <w:szCs w:val="21"/>
              </w:rPr>
            </w:pPr>
          </w:p>
        </w:tc>
        <w:tc>
          <w:tcPr>
            <w:tcW w:w="1060"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357"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4.培养环境与条件</w:t>
            </w:r>
          </w:p>
        </w:tc>
        <w:tc>
          <w:tcPr>
            <w:tcW w:w="3869" w:type="dxa"/>
          </w:tcPr>
          <w:p>
            <w:pPr>
              <w:rPr>
                <w:rFonts w:ascii="宋体" w:hAnsi="宋体" w:eastAsia="宋体"/>
                <w:b/>
                <w:bCs/>
                <w:sz w:val="21"/>
                <w:szCs w:val="21"/>
              </w:rPr>
            </w:pPr>
            <w:r>
              <w:rPr>
                <w:rFonts w:ascii="宋体" w:hAnsi="宋体" w:eastAsia="宋体"/>
                <w:b/>
                <w:bCs/>
                <w:sz w:val="21"/>
                <w:szCs w:val="21"/>
              </w:rPr>
              <w:t>4.</w:t>
            </w:r>
            <w:r>
              <w:rPr>
                <w:rFonts w:hint="eastAsia" w:ascii="宋体" w:hAnsi="宋体" w:eastAsia="宋体"/>
                <w:b/>
                <w:bCs/>
                <w:sz w:val="21"/>
                <w:szCs w:val="21"/>
              </w:rPr>
              <w:t>7科研水平</w:t>
            </w:r>
          </w:p>
          <w:p>
            <w:pPr>
              <w:rPr>
                <w:rFonts w:ascii="宋体" w:hAnsi="宋体" w:eastAsia="宋体"/>
                <w:sz w:val="21"/>
                <w:szCs w:val="21"/>
              </w:rPr>
            </w:pPr>
            <w:r>
              <w:rPr>
                <w:rFonts w:ascii="宋体" w:hAnsi="宋体" w:eastAsia="宋体"/>
                <w:sz w:val="21"/>
                <w:szCs w:val="21"/>
              </w:rPr>
              <w:t>近5年，专任教师主持科研项目20 项以上，总经费200万元以上，或师均科研经费不少于 8 万元；获得各类科研奖励（含行业获奖）10项以上，研究论文、调查报告、行业分析、咨询报告等应用成果不少于50项。</w:t>
            </w:r>
          </w:p>
        </w:tc>
        <w:tc>
          <w:tcPr>
            <w:tcW w:w="3179" w:type="dxa"/>
          </w:tcPr>
          <w:p>
            <w:pPr>
              <w:ind w:left="100"/>
              <w:jc w:val="both"/>
              <w:rPr>
                <w:rFonts w:ascii="宋体" w:hAnsi="宋体" w:eastAsia="宋体"/>
                <w:b/>
                <w:bCs/>
                <w:w w:val="98"/>
                <w:sz w:val="21"/>
                <w:szCs w:val="21"/>
              </w:rPr>
            </w:pPr>
          </w:p>
        </w:tc>
        <w:tc>
          <w:tcPr>
            <w:tcW w:w="3179" w:type="dxa"/>
          </w:tcPr>
          <w:p>
            <w:pPr>
              <w:ind w:left="100"/>
              <w:jc w:val="both"/>
              <w:rPr>
                <w:rFonts w:ascii="宋体" w:hAnsi="宋体" w:eastAsia="宋体"/>
                <w:b/>
                <w:bCs/>
                <w:w w:val="98"/>
                <w:sz w:val="21"/>
                <w:szCs w:val="21"/>
              </w:rPr>
            </w:pPr>
          </w:p>
        </w:tc>
        <w:tc>
          <w:tcPr>
            <w:tcW w:w="1060"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357"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sz w:val="21"/>
                <w:szCs w:val="21"/>
              </w:rPr>
            </w:pPr>
          </w:p>
        </w:tc>
        <w:tc>
          <w:tcPr>
            <w:tcW w:w="3869" w:type="dxa"/>
          </w:tcPr>
          <w:p>
            <w:pPr>
              <w:rPr>
                <w:rFonts w:ascii="宋体" w:hAnsi="宋体" w:eastAsia="宋体"/>
                <w:b/>
                <w:bCs/>
                <w:sz w:val="21"/>
                <w:szCs w:val="21"/>
              </w:rPr>
            </w:pPr>
            <w:r>
              <w:rPr>
                <w:rFonts w:ascii="宋体" w:hAnsi="宋体" w:eastAsia="宋体"/>
                <w:b/>
                <w:bCs/>
                <w:sz w:val="21"/>
                <w:szCs w:val="21"/>
              </w:rPr>
              <w:t>4.</w:t>
            </w:r>
            <w:r>
              <w:rPr>
                <w:rFonts w:hint="eastAsia" w:ascii="宋体" w:hAnsi="宋体" w:eastAsia="宋体"/>
                <w:b/>
                <w:bCs/>
                <w:sz w:val="21"/>
                <w:szCs w:val="21"/>
              </w:rPr>
              <w:t>8课程教学</w:t>
            </w:r>
          </w:p>
          <w:p>
            <w:pPr>
              <w:rPr>
                <w:rFonts w:ascii="宋体" w:hAnsi="宋体" w:eastAsia="宋体"/>
                <w:sz w:val="21"/>
                <w:szCs w:val="21"/>
              </w:rPr>
            </w:pPr>
            <w:r>
              <w:rPr>
                <w:rFonts w:ascii="宋体" w:hAnsi="宋体" w:eastAsia="宋体"/>
                <w:sz w:val="21"/>
                <w:szCs w:val="21"/>
              </w:rPr>
              <w:t>在公共必修、专业必修和专业方向课程方面，具有符合应用统计硕士培养  目标的完整课程体系。开展案例教学，且教学效果良好，拟办学领域方向能够为研究生开设2 门以上案例教学课程，外聘行（企）业人员参与的相关案例教学课程不少于 2 门；拟办学领域与经济、社会、金融保险、管理、质量控制、教育、体育、新闻、法律、互联网及其相关产业等机构组织、企业组织、事业单位有紧密的合作关系，深度参与教学活动。</w:t>
            </w:r>
          </w:p>
        </w:tc>
        <w:tc>
          <w:tcPr>
            <w:tcW w:w="3179" w:type="dxa"/>
          </w:tcPr>
          <w:p>
            <w:pPr>
              <w:spacing w:line="322" w:lineRule="auto"/>
              <w:rPr>
                <w:rFonts w:ascii="宋体" w:hAnsi="宋体" w:eastAsia="宋体"/>
                <w:b/>
                <w:bCs/>
                <w:sz w:val="21"/>
                <w:szCs w:val="21"/>
              </w:rPr>
            </w:pPr>
          </w:p>
        </w:tc>
        <w:tc>
          <w:tcPr>
            <w:tcW w:w="3179" w:type="dxa"/>
          </w:tcPr>
          <w:p>
            <w:pPr>
              <w:spacing w:line="322" w:lineRule="auto"/>
              <w:rPr>
                <w:rFonts w:ascii="宋体" w:hAnsi="宋体" w:eastAsia="宋体"/>
                <w:b/>
                <w:bCs/>
                <w:sz w:val="21"/>
                <w:szCs w:val="21"/>
              </w:rPr>
            </w:pPr>
          </w:p>
        </w:tc>
        <w:tc>
          <w:tcPr>
            <w:tcW w:w="1060"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spacing w:line="322" w:lineRule="auto"/>
              <w:jc w:val="center"/>
              <w:rPr>
                <w:rFonts w:ascii="宋体" w:hAnsi="宋体" w:eastAsia="宋体"/>
                <w:b/>
                <w:bCs/>
                <w:w w:val="98"/>
                <w:sz w:val="21"/>
                <w:szCs w:val="21"/>
              </w:rPr>
            </w:pPr>
            <w:r>
              <w:rPr>
                <w:rFonts w:hint="eastAsia" w:ascii="宋体" w:hAnsi="宋体" w:eastAsia="宋体"/>
                <w:b/>
                <w:bCs/>
                <w:w w:val="98"/>
                <w:sz w:val="21"/>
                <w:szCs w:val="21"/>
              </w:rPr>
              <w:t>□否</w:t>
            </w:r>
          </w:p>
        </w:tc>
        <w:tc>
          <w:tcPr>
            <w:tcW w:w="3357"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sz w:val="21"/>
                <w:szCs w:val="21"/>
              </w:rPr>
            </w:pPr>
          </w:p>
        </w:tc>
        <w:tc>
          <w:tcPr>
            <w:tcW w:w="3869" w:type="dxa"/>
          </w:tcPr>
          <w:p>
            <w:pPr>
              <w:rPr>
                <w:rFonts w:ascii="宋体" w:hAnsi="宋体" w:eastAsia="宋体"/>
                <w:b/>
                <w:bCs/>
                <w:sz w:val="21"/>
                <w:szCs w:val="21"/>
              </w:rPr>
            </w:pPr>
            <w:r>
              <w:rPr>
                <w:rFonts w:ascii="宋体" w:hAnsi="宋体" w:eastAsia="宋体"/>
                <w:b/>
                <w:bCs/>
                <w:sz w:val="21"/>
                <w:szCs w:val="21"/>
              </w:rPr>
              <w:t>4.</w:t>
            </w:r>
            <w:r>
              <w:rPr>
                <w:rFonts w:hint="eastAsia" w:ascii="宋体" w:hAnsi="宋体" w:eastAsia="宋体"/>
                <w:b/>
                <w:bCs/>
                <w:sz w:val="21"/>
                <w:szCs w:val="21"/>
              </w:rPr>
              <w:t>9</w:t>
            </w:r>
            <w:r>
              <w:rPr>
                <w:rFonts w:ascii="宋体" w:hAnsi="宋体" w:eastAsia="宋体"/>
                <w:b/>
                <w:bCs/>
                <w:sz w:val="21"/>
                <w:szCs w:val="21"/>
              </w:rPr>
              <w:t xml:space="preserve"> 支撑条件 </w:t>
            </w:r>
          </w:p>
          <w:p>
            <w:pPr>
              <w:rPr>
                <w:rFonts w:ascii="宋体" w:hAnsi="宋体" w:eastAsia="宋体"/>
                <w:sz w:val="21"/>
                <w:szCs w:val="21"/>
              </w:rPr>
            </w:pPr>
            <w:r>
              <w:rPr>
                <w:rFonts w:ascii="宋体" w:hAnsi="宋体" w:eastAsia="宋体"/>
                <w:sz w:val="21"/>
                <w:szCs w:val="21"/>
              </w:rPr>
              <w:t>有一定数量和较高标准的应用统计硕士教育专用教室及计算机房、统计分析软件、辅助电话调查操作系统等。能为应用统计硕士提供使用校园网、计算机网络教学的条件。应用统计硕士核心课程有多媒体教学课件，并使用多媒体教学设施进行教学。有足够数量的统计及相关领域专业图书资料，以及实际统计应用案例。在管理体制、师资队伍建设、课程建设、教学组织等方面，建立和完善相关规章制度。具有完善全日制专业学位研究生奖助贷制度。</w:t>
            </w:r>
          </w:p>
        </w:tc>
        <w:tc>
          <w:tcPr>
            <w:tcW w:w="3179" w:type="dxa"/>
          </w:tcPr>
          <w:p>
            <w:pPr>
              <w:spacing w:line="294" w:lineRule="auto"/>
              <w:rPr>
                <w:rFonts w:ascii="宋体" w:hAnsi="宋体" w:eastAsia="宋体"/>
                <w:b/>
                <w:bCs/>
                <w:sz w:val="21"/>
                <w:szCs w:val="21"/>
              </w:rPr>
            </w:pPr>
          </w:p>
        </w:tc>
        <w:tc>
          <w:tcPr>
            <w:tcW w:w="3179" w:type="dxa"/>
          </w:tcPr>
          <w:p>
            <w:pPr>
              <w:spacing w:line="294" w:lineRule="auto"/>
              <w:rPr>
                <w:rFonts w:ascii="宋体" w:hAnsi="宋体" w:eastAsia="宋体"/>
                <w:b/>
                <w:bCs/>
                <w:sz w:val="21"/>
                <w:szCs w:val="21"/>
              </w:rPr>
            </w:pPr>
          </w:p>
        </w:tc>
        <w:tc>
          <w:tcPr>
            <w:tcW w:w="1060"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spacing w:line="294" w:lineRule="auto"/>
              <w:jc w:val="center"/>
              <w:rPr>
                <w:rFonts w:ascii="宋体" w:hAnsi="宋体" w:eastAsia="宋体"/>
                <w:b/>
                <w:bCs/>
                <w:sz w:val="21"/>
                <w:szCs w:val="21"/>
              </w:rPr>
            </w:pPr>
            <w:r>
              <w:rPr>
                <w:rFonts w:hint="eastAsia" w:ascii="宋体" w:hAnsi="宋体" w:eastAsia="宋体"/>
                <w:b/>
                <w:bCs/>
                <w:w w:val="98"/>
                <w:sz w:val="21"/>
                <w:szCs w:val="21"/>
              </w:rPr>
              <w:t>□否</w:t>
            </w:r>
          </w:p>
        </w:tc>
        <w:tc>
          <w:tcPr>
            <w:tcW w:w="3357" w:type="dxa"/>
          </w:tcPr>
          <w:p>
            <w:pPr>
              <w:rPr>
                <w:rFonts w:hint="eastAsia" w:ascii="宋体" w:hAnsi="宋体" w:eastAsia="宋体"/>
                <w:b/>
                <w:bCs/>
                <w:w w:val="98"/>
                <w:sz w:val="21"/>
                <w:szCs w:val="21"/>
              </w:rPr>
            </w:pPr>
          </w:p>
        </w:tc>
      </w:tr>
    </w:tbl>
    <w:p>
      <w:pPr>
        <w:rPr>
          <w:rFonts w:ascii="宋体" w:hAnsi="宋体" w:eastAsia="宋体"/>
        </w:rPr>
      </w:pPr>
    </w:p>
    <w:sectPr>
      <w:footerReference r:id="rId3" w:type="default"/>
      <w:pgSz w:w="16838" w:h="11906" w:orient="landscape"/>
      <w:pgMar w:top="1418" w:right="1134" w:bottom="1418"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56374160"/>
    </w:sdtPr>
    <w:sdtEndPr>
      <w:rPr>
        <w:rFonts w:ascii="Times New Roman" w:hAnsi="Times New Roman" w:cs="Times New Roman"/>
      </w:rPr>
    </w:sdtEndPr>
    <w:sdtContent>
      <w:p>
        <w:pPr>
          <w:pStyle w:val="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3</w:t>
        </w:r>
        <w:r>
          <w:rPr>
            <w:rFonts w:ascii="Times New Roman" w:hAnsi="Times New Roman" w:cs="Times New Roman"/>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mZDMwZTI3MDg0NGJkNzdiMTg5ZDIxMzk1MDU3ZjIifQ=="/>
  </w:docVars>
  <w:rsids>
    <w:rsidRoot w:val="008D6138"/>
    <w:rsid w:val="000542C3"/>
    <w:rsid w:val="0008599A"/>
    <w:rsid w:val="000B0570"/>
    <w:rsid w:val="000E5EAE"/>
    <w:rsid w:val="0013754A"/>
    <w:rsid w:val="00313646"/>
    <w:rsid w:val="00323831"/>
    <w:rsid w:val="0036224E"/>
    <w:rsid w:val="00362B60"/>
    <w:rsid w:val="00564C13"/>
    <w:rsid w:val="005671E3"/>
    <w:rsid w:val="005F2413"/>
    <w:rsid w:val="0079440C"/>
    <w:rsid w:val="007E44C6"/>
    <w:rsid w:val="00817BE4"/>
    <w:rsid w:val="008656FD"/>
    <w:rsid w:val="008D54E4"/>
    <w:rsid w:val="008D6138"/>
    <w:rsid w:val="0092156B"/>
    <w:rsid w:val="009B13B9"/>
    <w:rsid w:val="00A43B64"/>
    <w:rsid w:val="00A57430"/>
    <w:rsid w:val="00B32101"/>
    <w:rsid w:val="00C20324"/>
    <w:rsid w:val="00D033A6"/>
    <w:rsid w:val="00D642F2"/>
    <w:rsid w:val="00DF2B8A"/>
    <w:rsid w:val="00EA5356"/>
    <w:rsid w:val="0C625124"/>
    <w:rsid w:val="14C76DE3"/>
    <w:rsid w:val="15305968"/>
    <w:rsid w:val="26414D8C"/>
    <w:rsid w:val="5B023780"/>
    <w:rsid w:val="6D624AD1"/>
    <w:rsid w:val="6F6A31ED"/>
    <w:rsid w:val="7E860A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2"/>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104"/>
    </w:pPr>
    <w:rPr>
      <w:rFonts w:ascii="宋体" w:hAnsi="宋体" w:eastAsia="宋体" w:cs="宋体"/>
      <w:sz w:val="21"/>
      <w:szCs w:val="21"/>
    </w:rPr>
  </w:style>
  <w:style w:type="paragraph" w:styleId="3">
    <w:name w:val="Balloon Text"/>
    <w:basedOn w:val="1"/>
    <w:link w:val="11"/>
    <w:semiHidden/>
    <w:unhideWhenUsed/>
    <w:qFormat/>
    <w:uiPriority w:val="99"/>
    <w:rPr>
      <w:sz w:val="18"/>
      <w:szCs w:val="18"/>
    </w:rPr>
  </w:style>
  <w:style w:type="paragraph" w:styleId="4">
    <w:name w:val="footer"/>
    <w:basedOn w:val="1"/>
    <w:link w:val="9"/>
    <w:unhideWhenUsed/>
    <w:qFormat/>
    <w:uiPriority w:val="99"/>
    <w:pPr>
      <w:widowControl w:val="0"/>
      <w:tabs>
        <w:tab w:val="center" w:pos="4153"/>
        <w:tab w:val="right" w:pos="8306"/>
      </w:tabs>
      <w:snapToGrid w:val="0"/>
    </w:pPr>
    <w:rPr>
      <w:rFonts w:asciiTheme="minorHAnsi" w:hAnsiTheme="minorHAnsi" w:cstheme="minorBidi"/>
      <w:kern w:val="2"/>
      <w:sz w:val="18"/>
      <w:szCs w:val="18"/>
    </w:rPr>
  </w:style>
  <w:style w:type="paragraph" w:styleId="5">
    <w:name w:val="header"/>
    <w:basedOn w:val="1"/>
    <w:link w:val="8"/>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cstheme="minorBidi"/>
      <w:kern w:val="2"/>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paragraph" w:styleId="10">
    <w:name w:val="List Paragraph"/>
    <w:basedOn w:val="1"/>
    <w:qFormat/>
    <w:uiPriority w:val="1"/>
    <w:pPr>
      <w:ind w:left="104" w:firstLine="420"/>
      <w:jc w:val="both"/>
    </w:pPr>
    <w:rPr>
      <w:rFonts w:ascii="宋体" w:hAnsi="宋体" w:eastAsia="宋体" w:cs="宋体"/>
    </w:rPr>
  </w:style>
  <w:style w:type="character" w:customStyle="1" w:styleId="11">
    <w:name w:val="批注框文本 字符"/>
    <w:basedOn w:val="7"/>
    <w:link w:val="3"/>
    <w:semiHidden/>
    <w:qFormat/>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1474</Words>
  <Characters>1521</Characters>
  <Lines>11</Lines>
  <Paragraphs>3</Paragraphs>
  <TotalTime>0</TotalTime>
  <ScaleCrop>false</ScaleCrop>
  <LinksUpToDate>false</LinksUpToDate>
  <CharactersWithSpaces>1583</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2020-10-12T12:59:00Z</dcterms:created>
  <dc:creator>温 超东</dc:creator>
  <cp:lastModifiedBy>hbue</cp:lastModifiedBy>
  <dcterms:modified xsi:type="dcterms:W3CDTF">2022-06-21T08:58:23Z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C7AABE6587634ECC941116BB98E0C4CF</vt:lpwstr>
  </property>
</Properties>
</file>