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9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申请新增应用经济学一级学科硕士学位授权点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基本条件建设清单</w:t>
      </w:r>
    </w:p>
    <w:p>
      <w:pPr>
        <w:spacing w:line="329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学位点代码：0202</w:t>
      </w:r>
      <w:r>
        <w:rPr>
          <w:rFonts w:ascii="宋体" w:hAnsi="宋体" w:eastAsia="宋体"/>
          <w:b/>
          <w:bCs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/>
          <w:b/>
          <w:bCs/>
          <w:sz w:val="24"/>
          <w:szCs w:val="24"/>
        </w:rPr>
        <w:t>学位点名称：应用经济学</w:t>
      </w:r>
    </w:p>
    <w:tbl>
      <w:tblPr>
        <w:tblStyle w:val="6"/>
        <w:tblW w:w="14608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0"/>
        <w:gridCol w:w="4383"/>
        <w:gridCol w:w="3309"/>
        <w:gridCol w:w="3262"/>
        <w:gridCol w:w="100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82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申请基本条件</w:t>
            </w: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2022年1至6月建设成果（逐项列举）</w:t>
            </w:r>
          </w:p>
        </w:tc>
        <w:tc>
          <w:tcPr>
            <w:tcW w:w="326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学科现状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及差距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（根据申请基本条件，逐项描述达标情况）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自审是否达标 （√）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拟采取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1.学科方向与特色</w:t>
            </w: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1.1学科方向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至少设置 3 个学科方向。其中，国民经济学、区域经济学、财政学、金融学、产业经济学、国际贸易学、劳动经济学、经济统计学、数量经济学、国防经济学、保险学、金融工程、税收学 13 个学科方向中至少有 2 个为主干学科方向。</w:t>
            </w:r>
          </w:p>
        </w:tc>
        <w:tc>
          <w:tcPr>
            <w:tcW w:w="3309" w:type="dxa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continue"/>
            <w:vAlign w:val="center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1.2学科特色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拥有 8 年以上的学科建设经验，已经形成较稳定的学术传统和学科文化。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在2个主干方向具有突出优势，在人才培养、学术研究和社会服务等方面形成鲜明特色。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2.学科队伍</w:t>
            </w: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2.3人员规模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专任教师不少于 35 人，每个学科方向不少于 6 人。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continue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2.4人员结构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专任教师中，具有硕士以上学位的不低于 80%，具有博士学位的不低于50%；中青年教师（45 岁以下）不低于 50%；具有正高专业技术职务教师不低于 15%，具有高级专业技术职务教师不低于 40%；具有境外学习、进修、讲学、合作研究等学术经历（各项学术活动累计不少于 6 个月）者不低于专任教师的 10%。主干学科方向至少拥有 2 名具有正高专业技术职务教师，其他学科方向至少拥有 1 名具有正高专业技术职务教师。每个学科方向的学科骨干或学术活跃教师（年均发表论文、学术专著等高于 1 篇、部）占全部教师的50%以上。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continue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2.5学科带头人与学术骨干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学科带头人应具有一定学术影响力，主持过省部级以上科研项目，在国内外公认的本领域高水平学术期刊发表论文不少于 2 篇，年均招收硕士学位研究生不少于 1 人。学术骨干近 5 年主持过省部级以上科研项目或发表过高水平论文，年均招收硕士研究生不少于 1 人。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3.人才培养</w:t>
            </w: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3.6课程与教学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培养模式应突出对学生的课程训练和基本科研训练。学科方向必修课程学分不多于总学分的 60%，其中应至少开设 2 门结合具体课程的学术研讨课，有一定比例的选修课程。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continue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3.7培养质量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已经积累了一定研究生培养经验。有一定比例的毕业生继续攻读硕士研究生或博士研究生。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restart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4.培养环境与条件</w:t>
            </w: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8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科学研究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近 5年，学科年人均发表科研论文 0.5 篇，其中 30%为国内外著名论文索引期刊；人均主持省部级以上纵向课题 0.5 项，人均参与省部级以上课题 1 项，人均主持横向课题 0.5 项；年人均获得各类课题经费不低于 2 万元（不含校内资助经费）；有一定比例的硕士研究生参与科研项目。</w:t>
            </w:r>
          </w:p>
        </w:tc>
        <w:tc>
          <w:tcPr>
            <w:tcW w:w="3309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continue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9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学术交流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近 5 年，积极主办国内和国际性高水平研讨会。本学科教师积极参加全国性或国际学术会议，并在会上宣读论文或进行主题发言。至少与 3 个国际知名高校有学术交流合作计划和项目。学校为本学科学生参与国际交流有预算并提供实质性资助。</w:t>
            </w:r>
          </w:p>
        </w:tc>
        <w:tc>
          <w:tcPr>
            <w:tcW w:w="3309" w:type="dxa"/>
          </w:tcPr>
          <w:p>
            <w:pPr>
              <w:spacing w:line="322" w:lineRule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spacing w:line="322" w:lineRule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spacing w:line="322" w:lineRule="auto"/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" w:type="dxa"/>
            <w:vMerge w:val="continue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383" w:type="dxa"/>
          </w:tcPr>
          <w:p>
            <w:pPr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4.1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 xml:space="preserve"> 支撑条件 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拥有省级以上教学、科研基地；拥有教学和科研实验室并配置满足教学、科研需要的经济统计、分析类工具软件、数据库；能够开发和有效利用校外教学、科研资源。学校建有完备的学科管理和研究生教育管理制度，能有效保证和促进研究生教育质量提高。研究生奖助学金管理体系完备。</w:t>
            </w:r>
          </w:p>
        </w:tc>
        <w:tc>
          <w:tcPr>
            <w:tcW w:w="3309" w:type="dxa"/>
          </w:tcPr>
          <w:p>
            <w:pPr>
              <w:spacing w:line="294" w:lineRule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3262" w:type="dxa"/>
          </w:tcPr>
          <w:p>
            <w:pPr>
              <w:spacing w:line="294" w:lineRule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spacing w:line="294" w:lineRule="auto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214" w:type="dxa"/>
          </w:tcPr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</w:tbl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footerReference r:id="rId3" w:type="default"/>
      <w:pgSz w:w="16838" w:h="11906" w:orient="landscape"/>
      <w:pgMar w:top="1418" w:right="1134" w:bottom="141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6374160"/>
    </w:sdtPr>
    <w:sdtEndPr>
      <w:rPr>
        <w:rFonts w:ascii="Times New Roman" w:hAnsi="Times New Roman" w:cs="Times New Roman"/>
      </w:rPr>
    </w:sdtEndPr>
    <w:sdtContent>
      <w:p>
        <w:pPr>
          <w:pStyle w:val="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mZDMwZTI3MDg0NGJkNzdiMTg5ZDIxMzk1MDU3ZjIifQ=="/>
  </w:docVars>
  <w:rsids>
    <w:rsidRoot w:val="008D6138"/>
    <w:rsid w:val="00022B20"/>
    <w:rsid w:val="00083D0F"/>
    <w:rsid w:val="002364AE"/>
    <w:rsid w:val="00294D82"/>
    <w:rsid w:val="00300509"/>
    <w:rsid w:val="00362B60"/>
    <w:rsid w:val="003C35A1"/>
    <w:rsid w:val="006524EC"/>
    <w:rsid w:val="006A04DA"/>
    <w:rsid w:val="006F43BE"/>
    <w:rsid w:val="00723A85"/>
    <w:rsid w:val="007A5F63"/>
    <w:rsid w:val="007E4F73"/>
    <w:rsid w:val="00817BE4"/>
    <w:rsid w:val="008656FD"/>
    <w:rsid w:val="008A27C5"/>
    <w:rsid w:val="008D6138"/>
    <w:rsid w:val="0092156B"/>
    <w:rsid w:val="00933275"/>
    <w:rsid w:val="00964C43"/>
    <w:rsid w:val="009B13B9"/>
    <w:rsid w:val="00A57430"/>
    <w:rsid w:val="00A6438A"/>
    <w:rsid w:val="00BB39B8"/>
    <w:rsid w:val="00C20324"/>
    <w:rsid w:val="00CB1461"/>
    <w:rsid w:val="00D510B9"/>
    <w:rsid w:val="00DE70E2"/>
    <w:rsid w:val="00DF2B8A"/>
    <w:rsid w:val="00EE3838"/>
    <w:rsid w:val="00F36075"/>
    <w:rsid w:val="06DD2D63"/>
    <w:rsid w:val="15305968"/>
    <w:rsid w:val="16977432"/>
    <w:rsid w:val="1ED02DE6"/>
    <w:rsid w:val="2CDD107D"/>
    <w:rsid w:val="39111609"/>
    <w:rsid w:val="3C450D53"/>
    <w:rsid w:val="40C35677"/>
    <w:rsid w:val="457C1FE2"/>
    <w:rsid w:val="501507CC"/>
    <w:rsid w:val="5FBB3110"/>
    <w:rsid w:val="6D62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4"/>
    </w:pPr>
    <w:rPr>
      <w:rFonts w:ascii="宋体" w:hAnsi="宋体" w:eastAsia="宋体" w:cs="宋体"/>
      <w:sz w:val="21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1"/>
    <w:pPr>
      <w:ind w:left="104" w:firstLine="420"/>
      <w:jc w:val="both"/>
    </w:pPr>
    <w:rPr>
      <w:rFonts w:ascii="宋体" w:hAnsi="宋体" w:eastAsia="宋体" w:cs="宋体"/>
    </w:rPr>
  </w:style>
  <w:style w:type="character" w:customStyle="1" w:styleId="11">
    <w:name w:val="批注框文本 字符"/>
    <w:basedOn w:val="7"/>
    <w:link w:val="3"/>
    <w:semiHidden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1242</Words>
  <Characters>1300</Characters>
  <Lines>10</Lines>
  <Paragraphs>2</Paragraphs>
  <TotalTime>3</TotalTime>
  <ScaleCrop>false</ScaleCrop>
  <LinksUpToDate>false</LinksUpToDate>
  <CharactersWithSpaces>1386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2020-10-12T12:59:00Z</dcterms:created>
  <dc:creator>温 超东</dc:creator>
  <cp:lastModifiedBy>hbue</cp:lastModifiedBy>
  <dcterms:modified xsi:type="dcterms:W3CDTF">2022-06-21T08:57:08Z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3533E80FB9F14C3D9380F013BEE4173F</vt:lpwstr>
  </property>
</Properties>
</file>